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584000" cy="1584000"/>
            <wp:docPr id="1" name="Picture 1"/>
            <wp:cNvGraphicFramePr>
              <a:graphicFrameLocks noChangeAspect="1"/>
            </wp:cNvGraphicFramePr>
            <a:graphic>
              <a:graphicData uri="http://schemas.openxmlformats.org/drawingml/2006/picture">
                <pic:pic>
                  <pic:nvPicPr>
                    <pic:cNvPr id="0" name="Vision_Ghooncha_3D_Logo_Without_Flag.jpeg"/>
                    <pic:cNvPicPr/>
                  </pic:nvPicPr>
                  <pic:blipFill>
                    <a:blip r:embed="rId11"/>
                    <a:stretch>
                      <a:fillRect/>
                    </a:stretch>
                  </pic:blipFill>
                  <pic:spPr>
                    <a:xfrm>
                      <a:off x="0" y="0"/>
                      <a:ext cx="1584000" cy="1584000"/>
                    </a:xfrm>
                    <a:prstGeom prst="rect"/>
                  </pic:spPr>
                </pic:pic>
              </a:graphicData>
            </a:graphic>
          </wp:inline>
        </w:drawing>
      </w:r>
    </w:p>
    <w:p>
      <w:pPr>
        <w:jc w:val="center"/>
      </w:pPr>
      <w:r>
        <w:rPr>
          <w:b/>
          <w:color w:val="1E5A3B"/>
          <w:sz w:val="58"/>
        </w:rPr>
        <w:t>घूँचा विकास संकल्प</w:t>
      </w:r>
    </w:p>
    <w:p>
      <w:pPr>
        <w:jc w:val="center"/>
      </w:pPr>
      <w:r>
        <w:rPr>
          <w:b/>
          <w:color w:val="C89B3C"/>
          <w:sz w:val="36"/>
        </w:rPr>
        <w:t>EXECUTIVE SUMMARY</w:t>
      </w:r>
    </w:p>
    <w:p>
      <w:pPr>
        <w:jc w:val="center"/>
      </w:pPr>
      <w:r>
        <w:rPr>
          <w:b/>
          <w:sz w:val="30"/>
        </w:rPr>
        <w:t>VISION GHOONCHA 2047</w:t>
      </w:r>
    </w:p>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एक गाँव • एक साझा दृष्टि • एक चरणबद्ध विकास मॉडल</w:t>
            </w:r>
          </w:p>
        </w:tc>
      </w:tr>
    </w:tbl>
    <w:p>
      <w:pPr>
        <w:spacing w:after="20"/>
      </w:pPr>
    </w:p>
    <w:p>
      <w:pPr>
        <w:jc w:val="center"/>
      </w:pPr>
      <w:r>
        <w:rPr>
          <w:sz w:val="22"/>
        </w:rPr>
        <w:br/>
        <w:t>प्रथम संस्करण 2026</w:t>
        <w:br/>
        <w:br/>
        <w:t>संस्थापक एवं संपादक</w:t>
        <w:br/>
        <w:t>राम गोपाल</w:t>
        <w:br/>
        <w:t>Vision Ghooncha Foundation</w:t>
      </w:r>
    </w:p>
    <w:p>
      <w:r>
        <w:br w:type="page"/>
      </w:r>
    </w:p>
    <w:p>
      <w:pPr>
        <w:spacing w:after="40"/>
      </w:pPr>
      <w:r>
        <w:rPr>
          <w:b/>
          <w:color w:val="C89B3C"/>
          <w:sz w:val="16"/>
        </w:rPr>
        <w:t>EXECUTIVE BRIEF</w:t>
      </w:r>
    </w:p>
    <w:p>
      <w:pPr>
        <w:spacing w:after="140"/>
      </w:pPr>
      <w:r>
        <w:rPr>
          <w:rFonts w:ascii="Noto Sans Devanagari" w:hAnsi="Noto Sans Devanagari"/>
          <w:b/>
          <w:color w:val="1E5A3B"/>
          <w:sz w:val="42"/>
        </w:rPr>
        <w:t>एक नज़र में घूँचा</w:t>
      </w:r>
    </w:p>
    <w:p>
      <w:r>
        <w:t>यह Executive Summary “घूँचा विकास संकल्प” Release Version 1.0 का प्रशासन, जनप्रतिनिधियों, CSR संस्थाओं, विकास भागीदारों और समुदाय के लिए संक्षिप्त प्रस्तुतीकरण है। इसका केंद्र वास्तविक baseline, प्राथमिक सेवा-अंतर, जनभागीदारी और 2047 तक चरणबद्ध विकास है।</w:t>
      </w:r>
    </w:p>
    <w:tbl>
      <w:tblPr>
        <w:tblW w:type="auto" w:w="0"/>
        <w:jc w:val="center"/>
        <w:tblLook w:firstColumn="1" w:firstRow="1" w:lastColumn="0" w:lastRow="0" w:noHBand="0" w:noVBand="1" w:val="04A0"/>
      </w:tblPr>
      <w:tblGrid>
        <w:gridCol w:w="3421"/>
        <w:gridCol w:w="3421"/>
        <w:gridCol w:w="3421"/>
      </w:tblGrid>
      <w:tr>
        <w:tc>
          <w:tcPr>
            <w:tcW w:type="dxa" w:w="3421"/>
            <w:shd w:fill="F7F2E7"/>
            <w:tcMar>
              <w:top w:w="100" w:type="dxa"/>
              <w:start w:w="120" w:type="dxa"/>
              <w:bottom w:w="100" w:type="dxa"/>
              <w:end w:w="120" w:type="dxa"/>
            </w:tcMar>
            <w:vAlign w:val="center"/>
          </w:tcPr>
          <w:p>
            <w:pPr>
              <w:jc w:val="center"/>
            </w:pPr>
            <w:r/>
            <w:r>
              <w:rPr>
                <w:rFonts w:ascii="Noto Sans Devanagari" w:hAnsi="Noto Sans Devanagari"/>
                <w:b/>
                <w:color w:val="1E5A3B"/>
                <w:sz w:val="26"/>
              </w:rPr>
              <w:t>227</w:t>
              <w:br/>
              <w:t>परिवार</w:t>
            </w:r>
          </w:p>
        </w:tc>
        <w:tc>
          <w:tcPr>
            <w:tcW w:type="dxa" w:w="3421"/>
            <w:shd w:fill="F7F2E7"/>
            <w:tcMar>
              <w:top w:w="100" w:type="dxa"/>
              <w:start w:w="120" w:type="dxa"/>
              <w:bottom w:w="100" w:type="dxa"/>
              <w:end w:w="120" w:type="dxa"/>
            </w:tcMar>
            <w:vAlign w:val="center"/>
          </w:tcPr>
          <w:p>
            <w:pPr>
              <w:jc w:val="center"/>
            </w:pPr>
            <w:r/>
            <w:r>
              <w:rPr>
                <w:rFonts w:ascii="Noto Sans Devanagari" w:hAnsi="Noto Sans Devanagari"/>
                <w:b/>
                <w:color w:val="1E5A3B"/>
                <w:sz w:val="26"/>
              </w:rPr>
              <w:t>1,656</w:t>
              <w:br/>
              <w:t>अनुमानित जनसंख्या</w:t>
            </w:r>
          </w:p>
        </w:tc>
        <w:tc>
          <w:tcPr>
            <w:tcW w:type="dxa" w:w="3421"/>
            <w:shd w:fill="F7F2E7"/>
            <w:tcMar>
              <w:top w:w="100" w:type="dxa"/>
              <w:start w:w="120" w:type="dxa"/>
              <w:bottom w:w="100" w:type="dxa"/>
              <w:end w:w="120" w:type="dxa"/>
            </w:tcMar>
            <w:vAlign w:val="center"/>
          </w:tcPr>
          <w:p>
            <w:pPr>
              <w:jc w:val="center"/>
            </w:pPr>
            <w:r/>
            <w:r>
              <w:rPr>
                <w:rFonts w:ascii="Noto Sans Devanagari" w:hAnsi="Noto Sans Devanagari"/>
                <w:b/>
                <w:color w:val="1E5A3B"/>
                <w:sz w:val="26"/>
              </w:rPr>
              <w:t>11</w:t>
              <w:br/>
              <w:t>वार्ड</w:t>
            </w:r>
          </w:p>
        </w:tc>
      </w:tr>
      <w:tr>
        <w:tc>
          <w:tcPr>
            <w:tcW w:type="dxa" w:w="3421"/>
            <w:shd w:fill="F7F2E7"/>
            <w:tcMar>
              <w:top w:w="100" w:type="dxa"/>
              <w:start w:w="120" w:type="dxa"/>
              <w:bottom w:w="100" w:type="dxa"/>
              <w:end w:w="120" w:type="dxa"/>
            </w:tcMar>
            <w:vAlign w:val="center"/>
          </w:tcPr>
          <w:p>
            <w:pPr>
              <w:jc w:val="center"/>
            </w:pPr>
            <w:r/>
            <w:r>
              <w:rPr>
                <w:rFonts w:ascii="Noto Sans Devanagari" w:hAnsi="Noto Sans Devanagari"/>
                <w:b/>
                <w:color w:val="1E5A3B"/>
                <w:sz w:val="26"/>
              </w:rPr>
              <w:t>1</w:t>
              <w:br/>
              <w:t>प्राथमिक विद्यालय</w:t>
            </w:r>
          </w:p>
        </w:tc>
        <w:tc>
          <w:tcPr>
            <w:tcW w:type="dxa" w:w="3421"/>
            <w:shd w:fill="F7F2E7"/>
            <w:tcMar>
              <w:top w:w="100" w:type="dxa"/>
              <w:start w:w="120" w:type="dxa"/>
              <w:bottom w:w="100" w:type="dxa"/>
              <w:end w:w="120" w:type="dxa"/>
            </w:tcMar>
            <w:vAlign w:val="center"/>
          </w:tcPr>
          <w:p>
            <w:pPr>
              <w:jc w:val="center"/>
            </w:pPr>
            <w:r/>
            <w:r>
              <w:rPr>
                <w:rFonts w:ascii="Noto Sans Devanagari" w:hAnsi="Noto Sans Devanagari"/>
                <w:b/>
                <w:color w:val="1E5A3B"/>
                <w:sz w:val="26"/>
              </w:rPr>
              <w:t>1</w:t>
              <w:br/>
              <w:t>जूनियर विद्यालय</w:t>
            </w:r>
          </w:p>
        </w:tc>
        <w:tc>
          <w:tcPr>
            <w:tcW w:type="dxa" w:w="3421"/>
            <w:shd w:fill="F7F2E7"/>
            <w:tcMar>
              <w:top w:w="100" w:type="dxa"/>
              <w:start w:w="120" w:type="dxa"/>
              <w:bottom w:w="100" w:type="dxa"/>
              <w:end w:w="120" w:type="dxa"/>
            </w:tcMar>
            <w:vAlign w:val="center"/>
          </w:tcPr>
          <w:p>
            <w:pPr>
              <w:jc w:val="center"/>
            </w:pPr>
            <w:r/>
            <w:r>
              <w:rPr>
                <w:rFonts w:ascii="Noto Sans Devanagari" w:hAnsi="Noto Sans Devanagari"/>
                <w:b/>
                <w:color w:val="1E5A3B"/>
                <w:sz w:val="26"/>
              </w:rPr>
              <w:t>1</w:t>
              <w:br/>
              <w:t>आंगनवाड़ी केंद्र</w:t>
            </w:r>
          </w:p>
        </w:tc>
      </w:tr>
    </w:tbl>
    <w:p>
      <w:pPr>
        <w:spacing w:after="140"/>
      </w:pPr>
      <w:r>
        <w:rPr>
          <w:rFonts w:ascii="Noto Sans Devanagari" w:hAnsi="Noto Sans Devanagari"/>
          <w:b/>
          <w:color w:val="1E5A3B"/>
          <w:sz w:val="42"/>
        </w:rPr>
        <w:t>हमारा विकास सिद्धांत</w:t>
      </w:r>
    </w:p>
    <w:p>
      <w:pPr>
        <w:pStyle w:val="ListBullet"/>
        <w:spacing w:after="60"/>
      </w:pPr>
      <w:r>
        <w:rPr>
          <w:rFonts w:ascii="Noto Sans Devanagari" w:hAnsi="Noto Sans Devanagari"/>
          <w:sz w:val="20"/>
        </w:rPr>
        <w:t>समस्या पहचान से पहले तथ्य और स्थल-स्थिति का दस्तावेजीकरण।</w:t>
      </w:r>
    </w:p>
    <w:p>
      <w:pPr>
        <w:pStyle w:val="ListBullet"/>
        <w:spacing w:after="60"/>
      </w:pPr>
      <w:r>
        <w:rPr>
          <w:rFonts w:ascii="Noto Sans Devanagari" w:hAnsi="Noto Sans Devanagari"/>
          <w:sz w:val="20"/>
        </w:rPr>
        <w:t>योजना और परियोजना में समुदाय, पंचायत, विभाग और सहयोगी संस्थाओं का समन्वय।</w:t>
      </w:r>
    </w:p>
    <w:p>
      <w:pPr>
        <w:pStyle w:val="ListBullet"/>
        <w:spacing w:after="60"/>
      </w:pPr>
      <w:r>
        <w:rPr>
          <w:rFonts w:ascii="Noto Sans Devanagari" w:hAnsi="Noto Sans Devanagari"/>
          <w:sz w:val="20"/>
        </w:rPr>
        <w:t>प्रगति की मापनीय समीक्षा, फोटो/दस्तावेज और सार्वजनिक अपडेट।</w:t>
      </w:r>
    </w:p>
    <w:p>
      <w:pPr>
        <w:pStyle w:val="ListBullet"/>
        <w:spacing w:after="60"/>
      </w:pPr>
      <w:r>
        <w:rPr>
          <w:rFonts w:ascii="Noto Sans Devanagari" w:hAnsi="Noto Sans Devanagari"/>
          <w:sz w:val="20"/>
        </w:rPr>
        <w:t>स्थानीय आँकड़ों को Living Document मानकर नियमित सत्यापन और अद्यतन।</w:t>
      </w:r>
    </w:p>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लक्ष्य केवल निर्माण नहीं - गुणवत्तापूर्ण सार्वजनिक सेवाएँ और सक्षम समुदाय।</w:t>
            </w:r>
          </w:p>
        </w:tc>
      </w:tr>
    </w:tbl>
    <w:p>
      <w:pPr>
        <w:spacing w:after="20"/>
      </w:pPr>
    </w:p>
    <w:p>
      <w:r>
        <w:br w:type="page"/>
      </w:r>
    </w:p>
    <w:p>
      <w:pPr>
        <w:spacing w:after="40"/>
      </w:pPr>
      <w:r>
        <w:rPr>
          <w:b/>
          <w:color w:val="C89B3C"/>
          <w:sz w:val="16"/>
        </w:rPr>
        <w:t>INSTITUTIONAL FOUNDATION</w:t>
      </w:r>
    </w:p>
    <w:p>
      <w:pPr>
        <w:spacing w:after="140"/>
      </w:pPr>
      <w:r>
        <w:rPr>
          <w:rFonts w:ascii="Noto Sans Devanagari" w:hAnsi="Noto Sans Devanagari"/>
          <w:b/>
          <w:color w:val="1E5A3B"/>
          <w:sz w:val="42"/>
        </w:rPr>
        <w:t>Vision Ghooncha Foundation</w:t>
      </w:r>
    </w:p>
    <w:p>
      <w:r>
        <w:t>Vision Ghooncha Foundation एक जनभागीदारी आधारित ग्रामीण विकास पहल है। इसका उद्देश्य समुदाय को संगठित कर आत्मनिर्भर, शिक्षित, स्वच्छ, स्वस्थ और समृद्ध ग्राम की दिशा में काम करना है।</w:t>
      </w:r>
    </w:p>
    <w:tbl>
      <w:tblPr>
        <w:tblW w:type="auto" w:w="0"/>
        <w:jc w:val="center"/>
        <w:tblLook w:firstColumn="1" w:firstRow="1" w:lastColumn="0" w:lastRow="0" w:noHBand="0" w:noVBand="1" w:val="04A0"/>
      </w:tblPr>
      <w:tblGrid>
        <w:gridCol w:w="5131"/>
        <w:gridCol w:w="5131"/>
      </w:tblGrid>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20"/>
              </w:rPr>
              <w:t>दृष्टि (Vision)</w:t>
              <w:br/>
              <w:br/>
              <w:t>जनभागीदारी के माध्यम से आदर्श, आत्मनिर्भर एवं प्रेरणादायक गाँवों का निर्माण।</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20"/>
              </w:rPr>
              <w:t>मिशन (Mission)</w:t>
              <w:br/>
              <w:br/>
              <w:t>साझा जिम्मेदारी, सरकारी योजनाओं व स्थानीय संसाधनों का प्रभावी उपयोग, महिला-युवा सहभागिता और अपनाए जा सकने वाला ग्रामीण विकास मॉडल।</w:t>
            </w:r>
          </w:p>
        </w:tc>
      </w:tr>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val="0"/>
                <w:color w:val="20332A"/>
                <w:sz w:val="20"/>
              </w:rPr>
              <w:t>मूल्य (Core Values)</w:t>
              <w:br/>
              <w:br/>
              <w:t>जनभागीदारी • पारदर्शिता • समान अवसर • नवाचार • सतत विकास • उत्तरदायित्व</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val="0"/>
                <w:color w:val="20332A"/>
                <w:sz w:val="20"/>
              </w:rPr>
              <w:t>मूल सिद्धांत</w:t>
              <w:br/>
              <w:br/>
              <w:t>स्थायी परिवर्तन तब संभव होता है जब पूरा समुदाय विकास प्रक्रिया का सहभागी बने।</w:t>
            </w:r>
          </w:p>
        </w:tc>
      </w:tr>
    </w:tbl>
    <w:p>
      <w:pPr>
        <w:spacing w:after="100"/>
        <w:jc w:val="center"/>
      </w:pPr>
      <w:r>
        <w:drawing>
          <wp:inline xmlns:a="http://schemas.openxmlformats.org/drawingml/2006/main" xmlns:pic="http://schemas.openxmlformats.org/drawingml/2006/picture">
            <wp:extent cx="5868000" cy="7544571"/>
            <wp:docPr id="2" name="Picture 2"/>
            <wp:cNvGraphicFramePr>
              <a:graphicFrameLocks noChangeAspect="1"/>
            </wp:cNvGraphicFramePr>
            <a:graphic>
              <a:graphicData uri="http://schemas.openxmlformats.org/drawingml/2006/picture">
                <pic:pic>
                  <pic:nvPicPr>
                    <pic:cNvPr id="0" name="infographic_01_final.png"/>
                    <pic:cNvPicPr/>
                  </pic:nvPicPr>
                  <pic:blipFill>
                    <a:blip r:embed="rId12"/>
                    <a:stretch>
                      <a:fillRect/>
                    </a:stretch>
                  </pic:blipFill>
                  <pic:spPr>
                    <a:xfrm>
                      <a:off x="0" y="0"/>
                      <a:ext cx="5868000" cy="7544571"/>
                    </a:xfrm>
                    <a:prstGeom prst="rect"/>
                  </pic:spPr>
                </pic:pic>
              </a:graphicData>
            </a:graphic>
          </wp:inline>
        </w:drawing>
      </w:r>
    </w:p>
    <w:p>
      <w:r>
        <w:br w:type="page"/>
      </w:r>
    </w:p>
    <w:p>
      <w:pPr>
        <w:spacing w:after="40"/>
      </w:pPr>
      <w:r>
        <w:rPr>
          <w:b/>
          <w:color w:val="C89B3C"/>
          <w:sz w:val="16"/>
        </w:rPr>
        <w:t>CURRENT SITUATION</w:t>
      </w:r>
    </w:p>
    <w:p>
      <w:pPr>
        <w:spacing w:after="140"/>
      </w:pPr>
      <w:r>
        <w:rPr>
          <w:rFonts w:ascii="Noto Sans Devanagari" w:hAnsi="Noto Sans Devanagari"/>
          <w:b/>
          <w:color w:val="1E5A3B"/>
          <w:sz w:val="42"/>
        </w:rPr>
        <w:t>Baseline से प्राथमिकता तक</w:t>
      </w:r>
    </w:p>
    <w:p>
      <w:r>
        <w:t>उपलब्ध master baseline के अनुसार घूँचा में 227 परिवार और लगभग 1,656 जनसंख्या दर्ज है। ग्राम प्रोफ़ाइल आगे के विकास निर्णयों के लिए तथ्यात्मक आधार है; इसे समय-समय पर सत्यापित करना आवश्यक है।</w:t>
      </w:r>
    </w:p>
    <w:p>
      <w:pPr>
        <w:spacing w:after="140"/>
      </w:pPr>
      <w:r>
        <w:rPr>
          <w:rFonts w:ascii="Noto Sans Devanagari" w:hAnsi="Noto Sans Devanagari"/>
          <w:b/>
          <w:color w:val="1E5A3B"/>
          <w:sz w:val="42"/>
        </w:rPr>
        <w:t>प्रमुख Service Gaps</w:t>
      </w:r>
    </w:p>
    <w:p>
      <w:pPr>
        <w:pStyle w:val="ListBullet"/>
        <w:spacing w:after="60"/>
      </w:pPr>
      <w:r>
        <w:rPr>
          <w:rFonts w:ascii="Noto Sans Devanagari" w:hAnsi="Noto Sans Devanagari"/>
          <w:sz w:val="20"/>
        </w:rPr>
        <w:t>जल जीवन मिशन की पाइपलाइन बिछी है, पर नियमित जलापूर्ति शुरू होना शेष।</w:t>
      </w:r>
    </w:p>
    <w:p>
      <w:pPr>
        <w:pStyle w:val="ListBullet"/>
        <w:spacing w:after="60"/>
      </w:pPr>
      <w:r>
        <w:rPr>
          <w:rFonts w:ascii="Noto Sans Devanagari" w:hAnsi="Noto Sans Devanagari"/>
          <w:sz w:val="20"/>
        </w:rPr>
        <w:t>उपलब्ध हैंडपंप कार्यशील नहीं।</w:t>
      </w:r>
    </w:p>
    <w:p>
      <w:pPr>
        <w:pStyle w:val="ListBullet"/>
        <w:spacing w:after="60"/>
      </w:pPr>
      <w:r>
        <w:rPr>
          <w:rFonts w:ascii="Noto Sans Devanagari" w:hAnsi="Noto Sans Devanagari"/>
          <w:sz w:val="20"/>
        </w:rPr>
        <w:t>सार्वजनिक स्ट्रीट लाइट व्यवस्था का अभाव।</w:t>
      </w:r>
    </w:p>
    <w:p>
      <w:pPr>
        <w:pStyle w:val="ListBullet"/>
        <w:spacing w:after="60"/>
      </w:pPr>
      <w:r>
        <w:rPr>
          <w:rFonts w:ascii="Noto Sans Devanagari" w:hAnsi="Noto Sans Devanagari"/>
          <w:sz w:val="20"/>
        </w:rPr>
        <w:t>ग्राम स्तर पर स्वास्थ्य उपकेंद्र उपलब्ध नहीं।</w:t>
      </w:r>
    </w:p>
    <w:p>
      <w:pPr>
        <w:pStyle w:val="ListBullet"/>
        <w:spacing w:after="60"/>
      </w:pPr>
      <w:r>
        <w:rPr>
          <w:rFonts w:ascii="Noto Sans Devanagari" w:hAnsi="Noto Sans Devanagari"/>
          <w:sz w:val="20"/>
        </w:rPr>
        <w:t>विद्यार्थियों और युवाओं के लिए पुस्तकालय/अध्ययन केंद्र का अभाव।</w:t>
      </w:r>
    </w:p>
    <w:p>
      <w:pPr>
        <w:pStyle w:val="ListBullet"/>
        <w:spacing w:after="60"/>
      </w:pPr>
      <w:r>
        <w:rPr>
          <w:rFonts w:ascii="Noto Sans Devanagari" w:hAnsi="Noto Sans Devanagari"/>
          <w:sz w:val="20"/>
        </w:rPr>
        <w:t>नियमित कचरा प्रबंधन एवं आवश्यक संसाधनों की कमी।</w:t>
      </w:r>
    </w:p>
    <w:p>
      <w:pPr>
        <w:pStyle w:val="ListBullet"/>
        <w:spacing w:after="60"/>
      </w:pPr>
      <w:r>
        <w:rPr>
          <w:rFonts w:ascii="Noto Sans Devanagari" w:hAnsi="Noto Sans Devanagari"/>
          <w:sz w:val="20"/>
        </w:rPr>
        <w:t>खेल मैदान, तालाब और अंत्येष्टि स्थल के विकास की आवश्यकता।</w:t>
      </w:r>
    </w:p>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प्राथमिकता तय करने का आधार: आवश्यकता • प्रभाव • व्यवहार्यता • विभाग/योजना • समुदाय की भागीदारी</w:t>
            </w:r>
          </w:p>
        </w:tc>
      </w:tr>
    </w:tbl>
    <w:p>
      <w:pPr>
        <w:spacing w:after="20"/>
      </w:pPr>
    </w:p>
    <w:p>
      <w:r>
        <w:br w:type="page"/>
      </w:r>
    </w:p>
    <w:p>
      <w:pPr>
        <w:spacing w:after="40"/>
      </w:pPr>
      <w:r>
        <w:rPr>
          <w:b/>
          <w:color w:val="C89B3C"/>
          <w:sz w:val="16"/>
        </w:rPr>
        <w:t>EVIDENCE</w:t>
      </w:r>
    </w:p>
    <w:p>
      <w:pPr>
        <w:spacing w:after="140"/>
      </w:pPr>
      <w:r>
        <w:rPr>
          <w:rFonts w:ascii="Noto Sans Devanagari" w:hAnsi="Noto Sans Devanagari"/>
          <w:b/>
          <w:color w:val="1E5A3B"/>
          <w:sz w:val="42"/>
        </w:rPr>
        <w:t>वास्तविक ग्राम स्थिति - फोटो आधारित दस्तावेजीकरण</w:t>
      </w:r>
    </w:p>
    <w:p>
      <w:pPr>
        <w:spacing w:after="100"/>
        <w:jc w:val="center"/>
      </w:pPr>
      <w:r>
        <w:drawing>
          <wp:inline xmlns:a="http://schemas.openxmlformats.org/drawingml/2006/main" xmlns:pic="http://schemas.openxmlformats.org/drawingml/2006/picture">
            <wp:extent cx="6300000" cy="4200000"/>
            <wp:docPr id="3" name="Picture 3"/>
            <wp:cNvGraphicFramePr>
              <a:graphicFrameLocks noChangeAspect="1"/>
            </wp:cNvGraphicFramePr>
            <a:graphic>
              <a:graphicData uri="http://schemas.openxmlformats.org/drawingml/2006/picture">
                <pic:pic>
                  <pic:nvPicPr>
                    <pic:cNvPr id="0" name="a_high_resolution_infographic_poster_dashboard_in.png"/>
                    <pic:cNvPicPr/>
                  </pic:nvPicPr>
                  <pic:blipFill>
                    <a:blip r:embed="rId13"/>
                    <a:stretch>
                      <a:fillRect/>
                    </a:stretch>
                  </pic:blipFill>
                  <pic:spPr>
                    <a:xfrm>
                      <a:off x="0" y="0"/>
                      <a:ext cx="6300000" cy="4200000"/>
                    </a:xfrm>
                    <a:prstGeom prst="rect"/>
                  </pic:spPr>
                </pic:pic>
              </a:graphicData>
            </a:graphic>
          </wp:inline>
        </w:drawing>
      </w:r>
    </w:p>
    <w:p>
      <w:r>
        <w:t>स्थल-फोटो और स्थानीय अवलोकन का उद्देश्य समस्या को दृश्य प्रमाण के साथ समझना है। Executive Summary में चित्र संकेतात्मक दस्तावेज हैं; परियोजना प्रस्ताव के समय तिथि, स्थान, लाभार्थी और विभागीय सत्यापन अलग से जोड़ा जाएगा।</w:t>
      </w:r>
    </w:p>
    <w:p>
      <w:r>
        <w:br w:type="page"/>
      </w:r>
    </w:p>
    <w:p>
      <w:pPr>
        <w:spacing w:after="40"/>
      </w:pPr>
      <w:r>
        <w:rPr>
          <w:b/>
          <w:color w:val="C89B3C"/>
          <w:sz w:val="16"/>
        </w:rPr>
        <w:t>PRIORITY SECTORS</w:t>
      </w:r>
    </w:p>
    <w:p>
      <w:pPr>
        <w:spacing w:after="140"/>
      </w:pPr>
      <w:r>
        <w:rPr>
          <w:rFonts w:ascii="Noto Sans Devanagari" w:hAnsi="Noto Sans Devanagari"/>
          <w:b/>
          <w:color w:val="1E5A3B"/>
          <w:sz w:val="42"/>
        </w:rPr>
        <w:t>8 विकास प्राथमिकताएँ</w:t>
      </w:r>
    </w:p>
    <w:tbl>
      <w:tblPr>
        <w:tblW w:type="auto" w:w="0"/>
        <w:jc w:val="center"/>
        <w:tblLook w:firstColumn="1" w:firstRow="1" w:lastColumn="0" w:lastRow="0" w:noHBand="0" w:noVBand="1" w:val="04A0"/>
      </w:tblPr>
      <w:tblGrid>
        <w:gridCol w:w="5131"/>
        <w:gridCol w:w="5131"/>
      </w:tblGrid>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9"/>
              </w:rPr>
              <w:t>01 शिक्षा</w:t>
              <w:br/>
              <w:t>विद्यालय सुधार, पुस्तकालय, डिजिटल सीखना, खेल और करियर मार्गदर्शन</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9"/>
              </w:rPr>
              <w:t>02 कृषि एवं पशुपालन</w:t>
              <w:br/>
              <w:t>आधुनिक कृषि, पशु स्वास्थ्य, जल दक्षता और बाजार संपर्क</w:t>
            </w:r>
          </w:p>
        </w:tc>
      </w:tr>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9"/>
              </w:rPr>
              <w:t>03 स्वास्थ्य एवं पोषण</w:t>
              <w:br/>
              <w:t>मातृ-शिशु स्वास्थ्य, टीकाकरण, पोषण और स्वच्छता</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9"/>
              </w:rPr>
              <w:t>04 जल एवं पर्यावरण</w:t>
              <w:br/>
              <w:t>पेयजल, तालाब, वर्षा जल संचयन और हरित क्षेत्र</w:t>
            </w:r>
          </w:p>
        </w:tc>
      </w:tr>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9"/>
              </w:rPr>
              <w:t>05 महिला एवं युवा</w:t>
              <w:br/>
              <w:t>कौशल, नेतृत्व, डिजिटल/वित्तीय साक्षरता और आजीविका</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9"/>
              </w:rPr>
              <w:t>06 डिजिटल ग्राम</w:t>
              <w:br/>
              <w:t>सरकारी सेवाओं तक डिजिटल पहुँच और पारदर्शी सूचना</w:t>
            </w:r>
          </w:p>
        </w:tc>
      </w:tr>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9"/>
              </w:rPr>
              <w:t>07 सामाजिक समरसता</w:t>
              <w:br/>
              <w:t>साझा संवाद, नागरिक जिम्मेदारी और सहयोग</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9"/>
              </w:rPr>
              <w:t>08 Renewable Energy</w:t>
              <w:br/>
              <w:t>व्यवहार्यता आधारित सौर/स्वच्छ ऊर्जा और रखरखाव</w:t>
            </w:r>
          </w:p>
        </w:tc>
      </w:tr>
    </w:tbl>
    <w:p>
      <w:r>
        <w:br w:type="page"/>
      </w:r>
    </w:p>
    <w:p>
      <w:pPr>
        <w:spacing w:after="40"/>
      </w:pPr>
      <w:r>
        <w:rPr>
          <w:b/>
          <w:color w:val="C89B3C"/>
          <w:sz w:val="16"/>
        </w:rPr>
        <w:t>HUMAN DEVELOPMENT</w:t>
      </w:r>
    </w:p>
    <w:p>
      <w:pPr>
        <w:spacing w:after="140"/>
      </w:pPr>
      <w:r>
        <w:rPr>
          <w:rFonts w:ascii="Noto Sans Devanagari" w:hAnsi="Noto Sans Devanagari"/>
          <w:b/>
          <w:color w:val="1E5A3B"/>
          <w:sz w:val="42"/>
        </w:rPr>
        <w:t>शिक्षा क्रांति</w:t>
      </w:r>
    </w:p>
    <w:p>
      <w:r>
        <w:t>शिक्षा का लक्ष्य केवल विद्यालय उपस्थिति नहीं, बल्कि सीखने की गुणवत्ता, पुस्तकालय संस्कृति, डिजिटल exposure, खेल, प्रतिभा पहचान और आगे की शिक्षा/कौशल के अवसरों तक पहुँच है।</w:t>
      </w:r>
    </w:p>
    <w:p>
      <w:pPr>
        <w:spacing w:after="100"/>
        <w:jc w:val="center"/>
      </w:pPr>
      <w:r>
        <w:drawing>
          <wp:inline xmlns:a="http://schemas.openxmlformats.org/drawingml/2006/main" xmlns:pic="http://schemas.openxmlformats.org/drawingml/2006/picture">
            <wp:extent cx="6048000" cy="9072000"/>
            <wp:docPr id="4" name="Picture 4"/>
            <wp:cNvGraphicFramePr>
              <a:graphicFrameLocks noChangeAspect="1"/>
            </wp:cNvGraphicFramePr>
            <a:graphic>
              <a:graphicData uri="http://schemas.openxmlformats.org/drawingml/2006/picture">
                <pic:pic>
                  <pic:nvPicPr>
                    <pic:cNvPr id="0" name="a_detailed_infographic_poster_in_hindi_about_an_ed.png"/>
                    <pic:cNvPicPr/>
                  </pic:nvPicPr>
                  <pic:blipFill>
                    <a:blip r:embed="rId14"/>
                    <a:stretch>
                      <a:fillRect/>
                    </a:stretch>
                  </pic:blipFill>
                  <pic:spPr>
                    <a:xfrm>
                      <a:off x="0" y="0"/>
                      <a:ext cx="6048000" cy="9072000"/>
                    </a:xfrm>
                    <a:prstGeom prst="rect"/>
                  </pic:spPr>
                </pic:pic>
              </a:graphicData>
            </a:graphic>
          </wp:inline>
        </w:drawing>
      </w:r>
    </w:p>
    <w:p>
      <w:pPr>
        <w:pStyle w:val="ListBullet"/>
        <w:spacing w:after="60"/>
      </w:pPr>
      <w:r>
        <w:rPr>
          <w:rFonts w:ascii="Noto Sans Devanagari" w:hAnsi="Noto Sans Devanagari"/>
          <w:sz w:val="20"/>
        </w:rPr>
        <w:t>विद्यालय की वास्तविक जरूरतों का वार्षिक gap assessment।</w:t>
      </w:r>
    </w:p>
    <w:p>
      <w:pPr>
        <w:pStyle w:val="ListBullet"/>
        <w:spacing w:after="60"/>
      </w:pPr>
      <w:r>
        <w:rPr>
          <w:rFonts w:ascii="Noto Sans Devanagari" w:hAnsi="Noto Sans Devanagari"/>
          <w:sz w:val="20"/>
        </w:rPr>
        <w:t>पुस्तकालय/अध्ययन केंद्र को सामुदायिक learning hub के रूप में विकसित करना।</w:t>
      </w:r>
    </w:p>
    <w:p>
      <w:pPr>
        <w:pStyle w:val="ListBullet"/>
        <w:spacing w:after="60"/>
      </w:pPr>
      <w:r>
        <w:rPr>
          <w:rFonts w:ascii="Noto Sans Devanagari" w:hAnsi="Noto Sans Devanagari"/>
          <w:sz w:val="20"/>
        </w:rPr>
        <w:t>मेधावी बच्चों, छात्रवृत्ति, विज्ञान/खेल और career guidance की जानकारी साझा करना।</w:t>
      </w:r>
    </w:p>
    <w:p>
      <w:r>
        <w:br w:type="page"/>
      </w:r>
    </w:p>
    <w:p>
      <w:pPr>
        <w:spacing w:after="40"/>
      </w:pPr>
      <w:r>
        <w:rPr>
          <w:b/>
          <w:color w:val="C89B3C"/>
          <w:sz w:val="16"/>
        </w:rPr>
        <w:t>ESSENTIAL SERVICES</w:t>
      </w:r>
    </w:p>
    <w:p>
      <w:pPr>
        <w:spacing w:after="140"/>
      </w:pPr>
      <w:r>
        <w:rPr>
          <w:rFonts w:ascii="Noto Sans Devanagari" w:hAnsi="Noto Sans Devanagari"/>
          <w:b/>
          <w:color w:val="1E5A3B"/>
          <w:sz w:val="42"/>
        </w:rPr>
        <w:t>स्वास्थ्य • जल • स्वच्छता</w:t>
      </w:r>
    </w:p>
    <w:tbl>
      <w:tblPr>
        <w:tblW w:type="auto" w:w="0"/>
        <w:jc w:val="center"/>
        <w:tblLook w:firstColumn="1" w:firstRow="1" w:lastColumn="0" w:lastRow="0" w:noHBand="0" w:noVBand="1" w:val="04A0"/>
      </w:tblPr>
      <w:tblGrid>
        <w:gridCol w:w="5131"/>
        <w:gridCol w:w="5131"/>
      </w:tblGrid>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स्वास्थ्य</w:t>
              <w:br/>
              <w:t>प्राथमिक स्वास्थ्य पहुँच, मातृ-शिशु स्वास्थ्य, टीकाकरण, पोषण और referral awareness.</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पेयजल</w:t>
              <w:br/>
              <w:t>जलापूर्ति चालू कराने के लिए विभागीय follow-up, स्रोत स्थिति और घरेलू पहुँच का सत्यापन.</w:t>
            </w:r>
          </w:p>
        </w:tc>
      </w:tr>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स्वच्छता</w:t>
              <w:br/>
              <w:t>नियमित सफाई, कचरा संग्रह, सार्वजनिक स्थानों की सफाई और व्यवहार परिवर्तन.</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तालाब/जल संरक्षण</w:t>
              <w:br/>
              <w:t>स्थल-स्थिति, जलागम, सफाई, हरित पट्टी और दीर्घकालिक रखरखाव.</w:t>
            </w:r>
          </w:p>
        </w:tc>
      </w:tr>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स्ट्रीट लाइट</w:t>
              <w:br/>
              <w:t>सुरक्षा और आवागमन के लिए प्राथमिक स्थानों की सूची तथा चरणबद्ध व्यवस्था.</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पर्यावरण</w:t>
              <w:br/>
              <w:t>वृक्ष, हरित क्षेत्र, जल संरक्षण और सार्वजनिक संपत्तियों की देखभाल.</w:t>
            </w:r>
          </w:p>
        </w:tc>
      </w:tr>
    </w:tbl>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पहले सेवा चालू हो • फिर गुणवत्ता मापी जाए • उसके बाद स्थायी रखरखाव सुनिश्चित हो।</w:t>
            </w:r>
          </w:p>
        </w:tc>
      </w:tr>
    </w:tbl>
    <w:p>
      <w:pPr>
        <w:spacing w:after="20"/>
      </w:pPr>
    </w:p>
    <w:p>
      <w:r>
        <w:br w:type="page"/>
      </w:r>
    </w:p>
    <w:p>
      <w:pPr>
        <w:spacing w:after="40"/>
      </w:pPr>
      <w:r>
        <w:rPr>
          <w:b/>
          <w:color w:val="C89B3C"/>
          <w:sz w:val="16"/>
        </w:rPr>
        <w:t>ECONOMIC DEVELOPMENT</w:t>
      </w:r>
    </w:p>
    <w:p>
      <w:pPr>
        <w:spacing w:after="140"/>
      </w:pPr>
      <w:r>
        <w:rPr>
          <w:rFonts w:ascii="Noto Sans Devanagari" w:hAnsi="Noto Sans Devanagari"/>
          <w:b/>
          <w:color w:val="1E5A3B"/>
          <w:sz w:val="42"/>
        </w:rPr>
        <w:t>आजीविका और स्थानीय समृद्धि</w:t>
      </w:r>
    </w:p>
    <w:p>
      <w:pPr>
        <w:pStyle w:val="ListBullet"/>
        <w:spacing w:after="60"/>
      </w:pPr>
      <w:r>
        <w:rPr>
          <w:rFonts w:ascii="Noto Sans Devanagari" w:hAnsi="Noto Sans Devanagari"/>
          <w:sz w:val="20"/>
        </w:rPr>
        <w:t>किसानों के लिए आधुनिक कृषि, मृदा/जल दक्षता, विभागीय योजनाएँ और बाजार सूचना।</w:t>
      </w:r>
    </w:p>
    <w:p>
      <w:pPr>
        <w:pStyle w:val="ListBullet"/>
        <w:spacing w:after="60"/>
      </w:pPr>
      <w:r>
        <w:rPr>
          <w:rFonts w:ascii="Noto Sans Devanagari" w:hAnsi="Noto Sans Devanagari"/>
          <w:sz w:val="20"/>
        </w:rPr>
        <w:t>पशुपालन में टीकाकरण, पशु स्वास्थ्य, ear-tag/रिकॉर्ड, दुग्ध और मूल्य संवर्धन की संभावनाएँ।</w:t>
      </w:r>
    </w:p>
    <w:p>
      <w:pPr>
        <w:pStyle w:val="ListBullet"/>
        <w:spacing w:after="60"/>
      </w:pPr>
      <w:r>
        <w:rPr>
          <w:rFonts w:ascii="Noto Sans Devanagari" w:hAnsi="Noto Sans Devanagari"/>
          <w:sz w:val="20"/>
        </w:rPr>
        <w:t>महिलाओं के लिए कौशल, वित्तीय साक्षरता, समूह आधारित गतिविधियाँ और नेतृत्व।</w:t>
      </w:r>
    </w:p>
    <w:p>
      <w:pPr>
        <w:pStyle w:val="ListBullet"/>
        <w:spacing w:after="60"/>
      </w:pPr>
      <w:r>
        <w:rPr>
          <w:rFonts w:ascii="Noto Sans Devanagari" w:hAnsi="Noto Sans Devanagari"/>
          <w:sz w:val="20"/>
        </w:rPr>
        <w:t>युवाओं के लिए कौशल, डिजिटल क्षमता, रोजगार/उद्यमिता सूचना और ग्राम-सेवा नेतृत्व।</w:t>
      </w:r>
    </w:p>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आत्मनिर्भर ग्राम का अर्थ है - बेहतर सेवा + बेहतर कौशल + बेहतर अवसर + मजबूत स्थानीय संस्थाएँ।</w:t>
            </w:r>
          </w:p>
        </w:tc>
      </w:tr>
    </w:tbl>
    <w:p>
      <w:pPr>
        <w:spacing w:after="20"/>
      </w:pPr>
    </w:p>
    <w:p>
      <w:r>
        <w:br w:type="page"/>
      </w:r>
    </w:p>
    <w:p>
      <w:pPr>
        <w:spacing w:after="40"/>
      </w:pPr>
      <w:r>
        <w:rPr>
          <w:b/>
          <w:color w:val="C89B3C"/>
          <w:sz w:val="16"/>
        </w:rPr>
        <w:t>COMMUNITY OPERATING MODEL</w:t>
      </w:r>
    </w:p>
    <w:p>
      <w:pPr>
        <w:spacing w:after="140"/>
      </w:pPr>
      <w:r>
        <w:rPr>
          <w:rFonts w:ascii="Noto Sans Devanagari" w:hAnsi="Noto Sans Devanagari"/>
          <w:b/>
          <w:color w:val="1E5A3B"/>
          <w:sz w:val="42"/>
        </w:rPr>
        <w:t>11-स्वयंसेवक जनभागीदारी मॉडल</w:t>
      </w:r>
    </w:p>
    <w:p>
      <w:r>
        <w:t>Foundation ने 11 स्वयंसेवकों की संरचना विकसित करने की दिशा तय की है। अंतिम भूमिकाएँ वास्तविक चयन और बैठक निर्णय के अनुसार दर्ज होंगी। स्वयंसेवक वैधानिक पदों का विकल्प नहीं, बल्कि सूचना, सर्वेक्षण, दस्तावेजीकरण, योजना-सहायता और प्रगति समीक्षा में सहयोगी होंगे।</w:t>
      </w:r>
    </w:p>
    <w:tbl>
      <w:tblPr>
        <w:tblW w:type="auto" w:w="0"/>
        <w:jc w:val="center"/>
        <w:tblLook w:firstColumn="1" w:firstRow="1" w:lastColumn="0" w:lastRow="0" w:noHBand="0" w:noVBand="1" w:val="04A0"/>
      </w:tblPr>
      <w:tblGrid>
        <w:gridCol w:w="794"/>
        <w:gridCol w:w="8504"/>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6"/>
              </w:rPr>
              <w:t>1</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20"/>
              </w:rPr>
              <w:t>सर्वेक्षण एवं तथ्य संग्रह</w:t>
            </w:r>
          </w:p>
        </w:tc>
      </w:tr>
    </w:tbl>
    <w:tbl>
      <w:tblPr>
        <w:tblW w:type="auto" w:w="0"/>
        <w:jc w:val="center"/>
        <w:tblLook w:firstColumn="1" w:firstRow="1" w:lastColumn="0" w:lastRow="0" w:noHBand="0" w:noVBand="1" w:val="04A0"/>
      </w:tblPr>
      <w:tblGrid>
        <w:gridCol w:w="794"/>
        <w:gridCol w:w="8504"/>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6"/>
              </w:rPr>
              <w:t>2</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20"/>
              </w:rPr>
              <w:t>समस्या/आवश्यकता की प्राथमिकता</w:t>
            </w:r>
          </w:p>
        </w:tc>
      </w:tr>
    </w:tbl>
    <w:tbl>
      <w:tblPr>
        <w:tblW w:type="auto" w:w="0"/>
        <w:jc w:val="center"/>
        <w:tblLook w:firstColumn="1" w:firstRow="1" w:lastColumn="0" w:lastRow="0" w:noHBand="0" w:noVBand="1" w:val="04A0"/>
      </w:tblPr>
      <w:tblGrid>
        <w:gridCol w:w="794"/>
        <w:gridCol w:w="8504"/>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6"/>
              </w:rPr>
              <w:t>3</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20"/>
              </w:rPr>
              <w:t>प्रस्ताव एवं कार्ययोजना</w:t>
            </w:r>
          </w:p>
        </w:tc>
      </w:tr>
    </w:tbl>
    <w:tbl>
      <w:tblPr>
        <w:tblW w:type="auto" w:w="0"/>
        <w:jc w:val="center"/>
        <w:tblLook w:firstColumn="1" w:firstRow="1" w:lastColumn="0" w:lastRow="0" w:noHBand="0" w:noVBand="1" w:val="04A0"/>
      </w:tblPr>
      <w:tblGrid>
        <w:gridCol w:w="794"/>
        <w:gridCol w:w="8504"/>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6"/>
              </w:rPr>
              <w:t>4</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20"/>
              </w:rPr>
              <w:t>पंचायत/विभाग/CSR समन्वय</w:t>
            </w:r>
          </w:p>
        </w:tc>
      </w:tr>
    </w:tbl>
    <w:tbl>
      <w:tblPr>
        <w:tblW w:type="auto" w:w="0"/>
        <w:jc w:val="center"/>
        <w:tblLook w:firstColumn="1" w:firstRow="1" w:lastColumn="0" w:lastRow="0" w:noHBand="0" w:noVBand="1" w:val="04A0"/>
      </w:tblPr>
      <w:tblGrid>
        <w:gridCol w:w="794"/>
        <w:gridCol w:w="8504"/>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6"/>
              </w:rPr>
              <w:t>5</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20"/>
              </w:rPr>
              <w:t>कार्यान्वयन में सामुदायिक सहयोग</w:t>
            </w:r>
          </w:p>
        </w:tc>
      </w:tr>
    </w:tbl>
    <w:tbl>
      <w:tblPr>
        <w:tblW w:type="auto" w:w="0"/>
        <w:jc w:val="center"/>
        <w:tblLook w:firstColumn="1" w:firstRow="1" w:lastColumn="0" w:lastRow="0" w:noHBand="0" w:noVBand="1" w:val="04A0"/>
      </w:tblPr>
      <w:tblGrid>
        <w:gridCol w:w="794"/>
        <w:gridCol w:w="8504"/>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6"/>
              </w:rPr>
              <w:t>6</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20"/>
              </w:rPr>
              <w:t>प्रगति की निगरानी एवं सार्वजनिक अपडेट</w:t>
            </w:r>
          </w:p>
        </w:tc>
      </w:tr>
    </w:tbl>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निष्पक्षता • तथ्यपरक संवाद • सम्मान • पारदर्शिता • जवाबदेही</w:t>
            </w:r>
          </w:p>
        </w:tc>
      </w:tr>
    </w:tbl>
    <w:p>
      <w:pPr>
        <w:spacing w:after="20"/>
      </w:pPr>
    </w:p>
    <w:p>
      <w:r>
        <w:br w:type="page"/>
      </w:r>
    </w:p>
    <w:p>
      <w:pPr>
        <w:spacing w:after="40"/>
      </w:pPr>
      <w:r>
        <w:rPr>
          <w:b/>
          <w:color w:val="C89B3C"/>
          <w:sz w:val="16"/>
        </w:rPr>
        <w:t>FROM NEED TO DPR</w:t>
      </w:r>
    </w:p>
    <w:p>
      <w:pPr>
        <w:spacing w:after="140"/>
      </w:pPr>
      <w:r>
        <w:rPr>
          <w:rFonts w:ascii="Noto Sans Devanagari" w:hAnsi="Noto Sans Devanagari"/>
          <w:b/>
          <w:color w:val="1E5A3B"/>
          <w:sz w:val="42"/>
        </w:rPr>
        <w:t>Priority Project Portfolio</w:t>
      </w:r>
    </w:p>
    <w:tbl>
      <w:tblPr>
        <w:tblW w:type="auto" w:w="0"/>
        <w:jc w:val="center"/>
        <w:tblLook w:firstColumn="1" w:firstRow="1" w:lastColumn="0" w:lastRow="0" w:noHBand="0" w:noVBand="1" w:val="04A0"/>
      </w:tblPr>
      <w:tblGrid>
        <w:gridCol w:w="3421"/>
        <w:gridCol w:w="3421"/>
        <w:gridCol w:w="3421"/>
      </w:tblGrid>
      <w:tr>
        <w:tc>
          <w:tcPr>
            <w:tcW w:type="dxa" w:w="3421"/>
            <w:shd w:fill="1E5A3B"/>
            <w:tcMar>
              <w:top w:w="100" w:type="dxa"/>
              <w:start w:w="120" w:type="dxa"/>
              <w:bottom w:w="100" w:type="dxa"/>
              <w:end w:w="120" w:type="dxa"/>
            </w:tcMar>
            <w:vAlign w:val="center"/>
          </w:tcPr>
          <w:p>
            <w:pPr>
              <w:jc w:val="center"/>
            </w:pPr>
            <w:r/>
            <w:r>
              <w:rPr>
                <w:rFonts w:ascii="Noto Sans Devanagari" w:hAnsi="Noto Sans Devanagari"/>
                <w:b/>
                <w:color w:val="FFFFFF"/>
                <w:sz w:val="18"/>
              </w:rPr>
              <w:t>परियोजना</w:t>
            </w:r>
          </w:p>
        </w:tc>
        <w:tc>
          <w:tcPr>
            <w:tcW w:type="dxa" w:w="3421"/>
            <w:shd w:fill="1E5A3B"/>
            <w:tcMar>
              <w:top w:w="100" w:type="dxa"/>
              <w:start w:w="120" w:type="dxa"/>
              <w:bottom w:w="100" w:type="dxa"/>
              <w:end w:w="120" w:type="dxa"/>
            </w:tcMar>
            <w:vAlign w:val="center"/>
          </w:tcPr>
          <w:p>
            <w:pPr>
              <w:jc w:val="center"/>
            </w:pPr>
            <w:r/>
            <w:r>
              <w:rPr>
                <w:rFonts w:ascii="Noto Sans Devanagari" w:hAnsi="Noto Sans Devanagari"/>
                <w:b/>
                <w:color w:val="FFFFFF"/>
                <w:sz w:val="18"/>
              </w:rPr>
              <w:t>प्राथमिकता</w:t>
            </w:r>
          </w:p>
        </w:tc>
        <w:tc>
          <w:tcPr>
            <w:tcW w:type="dxa" w:w="3421"/>
            <w:shd w:fill="1E5A3B"/>
            <w:tcMar>
              <w:top w:w="100" w:type="dxa"/>
              <w:start w:w="120" w:type="dxa"/>
              <w:bottom w:w="100" w:type="dxa"/>
              <w:end w:w="120" w:type="dxa"/>
            </w:tcMar>
            <w:vAlign w:val="center"/>
          </w:tcPr>
          <w:p>
            <w:pPr>
              <w:jc w:val="center"/>
            </w:pPr>
            <w:r/>
            <w:r>
              <w:rPr>
                <w:rFonts w:ascii="Noto Sans Devanagari" w:hAnsi="Noto Sans Devanagari"/>
                <w:b/>
                <w:color w:val="FFFFFF"/>
                <w:sz w:val="18"/>
              </w:rPr>
              <w:t>मुख्य अगला कदम</w:t>
            </w:r>
          </w:p>
        </w:tc>
      </w:tr>
      <w:tr>
        <w:tc>
          <w:tcPr>
            <w:tcW w:type="dxa" w:w="3421"/>
            <w:shd w:fill="F7F2E7"/>
            <w:tcMar>
              <w:top w:w="100" w:type="dxa"/>
              <w:start w:w="120" w:type="dxa"/>
              <w:bottom w:w="100" w:type="dxa"/>
              <w:end w:w="120" w:type="dxa"/>
            </w:tcMar>
            <w:vAlign w:val="center"/>
          </w:tcPr>
          <w:p>
            <w:pPr>
              <w:jc w:val="left"/>
            </w:pPr>
            <w:r/>
            <w:r>
              <w:rPr>
                <w:rFonts w:ascii="Noto Sans Devanagari" w:hAnsi="Noto Sans Devanagari"/>
                <w:b/>
                <w:color w:val="1E5A3B"/>
                <w:sz w:val="17"/>
              </w:rPr>
              <w:t>पेयजल एवं हैंडपंप</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val="0"/>
                <w:color w:val="20332A"/>
                <w:sz w:val="17"/>
              </w:rPr>
              <w:t>तत्काल</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val="0"/>
                <w:color w:val="20332A"/>
                <w:sz w:val="17"/>
              </w:rPr>
              <w:t>जलापूर्ति/स्रोत सत्यापन, विभागीय follow-up</w:t>
            </w:r>
          </w:p>
        </w:tc>
      </w:tr>
      <w:tr>
        <w:tc>
          <w:tcPr>
            <w:tcW w:type="dxa" w:w="3421"/>
            <w:shd w:fill="FFFFFF"/>
            <w:tcMar>
              <w:top w:w="100" w:type="dxa"/>
              <w:start w:w="120" w:type="dxa"/>
              <w:bottom w:w="100" w:type="dxa"/>
              <w:end w:w="120" w:type="dxa"/>
            </w:tcMar>
            <w:vAlign w:val="center"/>
          </w:tcPr>
          <w:p>
            <w:pPr>
              <w:jc w:val="left"/>
            </w:pPr>
            <w:r/>
            <w:r>
              <w:rPr>
                <w:rFonts w:ascii="Noto Sans Devanagari" w:hAnsi="Noto Sans Devanagari"/>
                <w:b/>
                <w:color w:val="1E5A3B"/>
                <w:sz w:val="17"/>
              </w:rPr>
              <w:t>स्ट्रीट लाइट</w:t>
            </w:r>
          </w:p>
        </w:tc>
        <w:tc>
          <w:tcPr>
            <w:tcW w:type="dxa" w:w="3421"/>
            <w:shd w:fill="FFFFFF"/>
            <w:tcMar>
              <w:top w:w="100" w:type="dxa"/>
              <w:start w:w="120" w:type="dxa"/>
              <w:bottom w:w="100" w:type="dxa"/>
              <w:end w:w="120" w:type="dxa"/>
            </w:tcMar>
            <w:vAlign w:val="center"/>
          </w:tcPr>
          <w:p>
            <w:pPr>
              <w:jc w:val="left"/>
            </w:pPr>
            <w:r/>
            <w:r>
              <w:rPr>
                <w:rFonts w:ascii="Noto Sans Devanagari" w:hAnsi="Noto Sans Devanagari"/>
                <w:b w:val="0"/>
                <w:color w:val="20332A"/>
                <w:sz w:val="17"/>
              </w:rPr>
              <w:t>तत्काल</w:t>
            </w:r>
          </w:p>
        </w:tc>
        <w:tc>
          <w:tcPr>
            <w:tcW w:type="dxa" w:w="3421"/>
            <w:shd w:fill="FFFFFF"/>
            <w:tcMar>
              <w:top w:w="100" w:type="dxa"/>
              <w:start w:w="120" w:type="dxa"/>
              <w:bottom w:w="100" w:type="dxa"/>
              <w:end w:w="120" w:type="dxa"/>
            </w:tcMar>
            <w:vAlign w:val="center"/>
          </w:tcPr>
          <w:p>
            <w:pPr>
              <w:jc w:val="left"/>
            </w:pPr>
            <w:r/>
            <w:r>
              <w:rPr>
                <w:rFonts w:ascii="Noto Sans Devanagari" w:hAnsi="Noto Sans Devanagari"/>
                <w:b w:val="0"/>
                <w:color w:val="20332A"/>
                <w:sz w:val="17"/>
              </w:rPr>
              <w:t>प्राथमिक गलियाँ/सार्वजनिक स्थान, चरणबद्ध व्यवस्था</w:t>
            </w:r>
          </w:p>
        </w:tc>
      </w:tr>
      <w:tr>
        <w:tc>
          <w:tcPr>
            <w:tcW w:type="dxa" w:w="3421"/>
            <w:shd w:fill="F7F2E7"/>
            <w:tcMar>
              <w:top w:w="100" w:type="dxa"/>
              <w:start w:w="120" w:type="dxa"/>
              <w:bottom w:w="100" w:type="dxa"/>
              <w:end w:w="120" w:type="dxa"/>
            </w:tcMar>
            <w:vAlign w:val="center"/>
          </w:tcPr>
          <w:p>
            <w:pPr>
              <w:jc w:val="left"/>
            </w:pPr>
            <w:r/>
            <w:r>
              <w:rPr>
                <w:rFonts w:ascii="Noto Sans Devanagari" w:hAnsi="Noto Sans Devanagari"/>
                <w:b/>
                <w:color w:val="1E5A3B"/>
                <w:sz w:val="17"/>
              </w:rPr>
              <w:t>स्वच्छता एवं कचरा</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val="0"/>
                <w:color w:val="20332A"/>
                <w:sz w:val="17"/>
              </w:rPr>
              <w:t>तत्काल</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val="0"/>
                <w:color w:val="20332A"/>
                <w:sz w:val="17"/>
              </w:rPr>
              <w:t>सफाई संसाधन, संग्रह प्रणाली, जिम्मेदारी</w:t>
            </w:r>
          </w:p>
        </w:tc>
      </w:tr>
      <w:tr>
        <w:tc>
          <w:tcPr>
            <w:tcW w:type="dxa" w:w="3421"/>
            <w:shd w:fill="FFFFFF"/>
            <w:tcMar>
              <w:top w:w="100" w:type="dxa"/>
              <w:start w:w="120" w:type="dxa"/>
              <w:bottom w:w="100" w:type="dxa"/>
              <w:end w:w="120" w:type="dxa"/>
            </w:tcMar>
            <w:vAlign w:val="center"/>
          </w:tcPr>
          <w:p>
            <w:pPr>
              <w:jc w:val="left"/>
            </w:pPr>
            <w:r/>
            <w:r>
              <w:rPr>
                <w:rFonts w:ascii="Noto Sans Devanagari" w:hAnsi="Noto Sans Devanagari"/>
                <w:b/>
                <w:color w:val="1E5A3B"/>
                <w:sz w:val="17"/>
              </w:rPr>
              <w:t>पुस्तकालय/अध्ययन केंद्र</w:t>
            </w:r>
          </w:p>
        </w:tc>
        <w:tc>
          <w:tcPr>
            <w:tcW w:type="dxa" w:w="3421"/>
            <w:shd w:fill="FFFFFF"/>
            <w:tcMar>
              <w:top w:w="100" w:type="dxa"/>
              <w:start w:w="120" w:type="dxa"/>
              <w:bottom w:w="100" w:type="dxa"/>
              <w:end w:w="120" w:type="dxa"/>
            </w:tcMar>
            <w:vAlign w:val="center"/>
          </w:tcPr>
          <w:p>
            <w:pPr>
              <w:jc w:val="left"/>
            </w:pPr>
            <w:r/>
            <w:r>
              <w:rPr>
                <w:rFonts w:ascii="Noto Sans Devanagari" w:hAnsi="Noto Sans Devanagari"/>
                <w:b w:val="0"/>
                <w:color w:val="20332A"/>
                <w:sz w:val="17"/>
              </w:rPr>
              <w:t>1-3 वर्ष</w:t>
            </w:r>
          </w:p>
        </w:tc>
        <w:tc>
          <w:tcPr>
            <w:tcW w:type="dxa" w:w="3421"/>
            <w:shd w:fill="FFFFFF"/>
            <w:tcMar>
              <w:top w:w="100" w:type="dxa"/>
              <w:start w:w="120" w:type="dxa"/>
              <w:bottom w:w="100" w:type="dxa"/>
              <w:end w:w="120" w:type="dxa"/>
            </w:tcMar>
            <w:vAlign w:val="center"/>
          </w:tcPr>
          <w:p>
            <w:pPr>
              <w:jc w:val="left"/>
            </w:pPr>
            <w:r/>
            <w:r>
              <w:rPr>
                <w:rFonts w:ascii="Noto Sans Devanagari" w:hAnsi="Noto Sans Devanagari"/>
                <w:b w:val="0"/>
                <w:color w:val="20332A"/>
                <w:sz w:val="17"/>
              </w:rPr>
              <w:t>स्थान, पुस्तकें, डिजिटल सुविधा, संचालन मॉडल</w:t>
            </w:r>
          </w:p>
        </w:tc>
      </w:tr>
      <w:tr>
        <w:tc>
          <w:tcPr>
            <w:tcW w:type="dxa" w:w="3421"/>
            <w:shd w:fill="F7F2E7"/>
            <w:tcMar>
              <w:top w:w="100" w:type="dxa"/>
              <w:start w:w="120" w:type="dxa"/>
              <w:bottom w:w="100" w:type="dxa"/>
              <w:end w:w="120" w:type="dxa"/>
            </w:tcMar>
            <w:vAlign w:val="center"/>
          </w:tcPr>
          <w:p>
            <w:pPr>
              <w:jc w:val="left"/>
            </w:pPr>
            <w:r/>
            <w:r>
              <w:rPr>
                <w:rFonts w:ascii="Noto Sans Devanagari" w:hAnsi="Noto Sans Devanagari"/>
                <w:b/>
                <w:color w:val="1E5A3B"/>
                <w:sz w:val="17"/>
              </w:rPr>
              <w:t>खेल मैदान</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val="0"/>
                <w:color w:val="20332A"/>
                <w:sz w:val="17"/>
              </w:rPr>
              <w:t>1-3 वर्ष</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val="0"/>
                <w:color w:val="20332A"/>
                <w:sz w:val="17"/>
              </w:rPr>
              <w:t>सीमा, प्रकाश, पानी, शेड, खेल सुविधाएँ</w:t>
            </w:r>
          </w:p>
        </w:tc>
      </w:tr>
      <w:tr>
        <w:tc>
          <w:tcPr>
            <w:tcW w:type="dxa" w:w="3421"/>
            <w:shd w:fill="FFFFFF"/>
            <w:tcMar>
              <w:top w:w="100" w:type="dxa"/>
              <w:start w:w="120" w:type="dxa"/>
              <w:bottom w:w="100" w:type="dxa"/>
              <w:end w:w="120" w:type="dxa"/>
            </w:tcMar>
            <w:vAlign w:val="center"/>
          </w:tcPr>
          <w:p>
            <w:pPr>
              <w:jc w:val="left"/>
            </w:pPr>
            <w:r/>
            <w:r>
              <w:rPr>
                <w:rFonts w:ascii="Noto Sans Devanagari" w:hAnsi="Noto Sans Devanagari"/>
                <w:b/>
                <w:color w:val="1E5A3B"/>
                <w:sz w:val="17"/>
              </w:rPr>
              <w:t>तालाब सौंदर्यीकरण</w:t>
            </w:r>
          </w:p>
        </w:tc>
        <w:tc>
          <w:tcPr>
            <w:tcW w:type="dxa" w:w="3421"/>
            <w:shd w:fill="FFFFFF"/>
            <w:tcMar>
              <w:top w:w="100" w:type="dxa"/>
              <w:start w:w="120" w:type="dxa"/>
              <w:bottom w:w="100" w:type="dxa"/>
              <w:end w:w="120" w:type="dxa"/>
            </w:tcMar>
            <w:vAlign w:val="center"/>
          </w:tcPr>
          <w:p>
            <w:pPr>
              <w:jc w:val="left"/>
            </w:pPr>
            <w:r/>
            <w:r>
              <w:rPr>
                <w:rFonts w:ascii="Noto Sans Devanagari" w:hAnsi="Noto Sans Devanagari"/>
                <w:b w:val="0"/>
                <w:color w:val="20332A"/>
                <w:sz w:val="17"/>
              </w:rPr>
              <w:t>1-3 वर्ष</w:t>
            </w:r>
          </w:p>
        </w:tc>
        <w:tc>
          <w:tcPr>
            <w:tcW w:type="dxa" w:w="3421"/>
            <w:shd w:fill="FFFFFF"/>
            <w:tcMar>
              <w:top w:w="100" w:type="dxa"/>
              <w:start w:w="120" w:type="dxa"/>
              <w:bottom w:w="100" w:type="dxa"/>
              <w:end w:w="120" w:type="dxa"/>
            </w:tcMar>
            <w:vAlign w:val="center"/>
          </w:tcPr>
          <w:p>
            <w:pPr>
              <w:jc w:val="left"/>
            </w:pPr>
            <w:r/>
            <w:r>
              <w:rPr>
                <w:rFonts w:ascii="Noto Sans Devanagari" w:hAnsi="Noto Sans Devanagari"/>
                <w:b w:val="0"/>
                <w:color w:val="20332A"/>
                <w:sz w:val="17"/>
              </w:rPr>
              <w:t>सफाई, किनारा, हरित क्षेत्र, प्रकाश/बैठक</w:t>
            </w:r>
          </w:p>
        </w:tc>
      </w:tr>
      <w:tr>
        <w:tc>
          <w:tcPr>
            <w:tcW w:type="dxa" w:w="3421"/>
            <w:shd w:fill="F7F2E7"/>
            <w:tcMar>
              <w:top w:w="100" w:type="dxa"/>
              <w:start w:w="120" w:type="dxa"/>
              <w:bottom w:w="100" w:type="dxa"/>
              <w:end w:w="120" w:type="dxa"/>
            </w:tcMar>
            <w:vAlign w:val="center"/>
          </w:tcPr>
          <w:p>
            <w:pPr>
              <w:jc w:val="left"/>
            </w:pPr>
            <w:r/>
            <w:r>
              <w:rPr>
                <w:rFonts w:ascii="Noto Sans Devanagari" w:hAnsi="Noto Sans Devanagari"/>
                <w:b/>
                <w:color w:val="1E5A3B"/>
                <w:sz w:val="17"/>
              </w:rPr>
              <w:t>अंत्येष्टि स्थल</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val="0"/>
                <w:color w:val="20332A"/>
                <w:sz w:val="17"/>
              </w:rPr>
              <w:t>1-3 वर्ष</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val="0"/>
                <w:color w:val="20332A"/>
                <w:sz w:val="17"/>
              </w:rPr>
              <w:t>मार्ग, सीमा, छाया, पानी, प्रकाश, गरिमा</w:t>
            </w:r>
          </w:p>
        </w:tc>
      </w:tr>
      <w:tr>
        <w:tc>
          <w:tcPr>
            <w:tcW w:type="dxa" w:w="3421"/>
            <w:shd w:fill="FFFFFF"/>
            <w:tcMar>
              <w:top w:w="100" w:type="dxa"/>
              <w:start w:w="120" w:type="dxa"/>
              <w:bottom w:w="100" w:type="dxa"/>
              <w:end w:w="120" w:type="dxa"/>
            </w:tcMar>
            <w:vAlign w:val="center"/>
          </w:tcPr>
          <w:p>
            <w:pPr>
              <w:jc w:val="left"/>
            </w:pPr>
            <w:r/>
            <w:r>
              <w:rPr>
                <w:rFonts w:ascii="Noto Sans Devanagari" w:hAnsi="Noto Sans Devanagari"/>
                <w:b/>
                <w:color w:val="1E5A3B"/>
                <w:sz w:val="17"/>
              </w:rPr>
              <w:t>डिजिटल ग्राम सहायता</w:t>
            </w:r>
          </w:p>
        </w:tc>
        <w:tc>
          <w:tcPr>
            <w:tcW w:type="dxa" w:w="3421"/>
            <w:shd w:fill="FFFFFF"/>
            <w:tcMar>
              <w:top w:w="100" w:type="dxa"/>
              <w:start w:w="120" w:type="dxa"/>
              <w:bottom w:w="100" w:type="dxa"/>
              <w:end w:w="120" w:type="dxa"/>
            </w:tcMar>
            <w:vAlign w:val="center"/>
          </w:tcPr>
          <w:p>
            <w:pPr>
              <w:jc w:val="left"/>
            </w:pPr>
            <w:r/>
            <w:r>
              <w:rPr>
                <w:rFonts w:ascii="Noto Sans Devanagari" w:hAnsi="Noto Sans Devanagari"/>
                <w:b w:val="0"/>
                <w:color w:val="20332A"/>
                <w:sz w:val="17"/>
              </w:rPr>
              <w:t>निरंतर</w:t>
            </w:r>
          </w:p>
        </w:tc>
        <w:tc>
          <w:tcPr>
            <w:tcW w:type="dxa" w:w="3421"/>
            <w:shd w:fill="FFFFFF"/>
            <w:tcMar>
              <w:top w:w="100" w:type="dxa"/>
              <w:start w:w="120" w:type="dxa"/>
              <w:bottom w:w="100" w:type="dxa"/>
              <w:end w:w="120" w:type="dxa"/>
            </w:tcMar>
            <w:vAlign w:val="center"/>
          </w:tcPr>
          <w:p>
            <w:pPr>
              <w:jc w:val="left"/>
            </w:pPr>
            <w:r/>
            <w:r>
              <w:rPr>
                <w:rFonts w:ascii="Noto Sans Devanagari" w:hAnsi="Noto Sans Devanagari"/>
                <w:b w:val="0"/>
                <w:color w:val="20332A"/>
                <w:sz w:val="17"/>
              </w:rPr>
              <w:t>योजना सूचना, आवेदन सहायता, सार्वजनिक अपडेट</w:t>
            </w:r>
          </w:p>
        </w:tc>
      </w:tr>
    </w:tbl>
    <w:p>
      <w:r>
        <w:br w:type="page"/>
      </w:r>
    </w:p>
    <w:p>
      <w:pPr>
        <w:spacing w:after="40"/>
      </w:pPr>
      <w:r>
        <w:rPr>
          <w:b/>
          <w:color w:val="C89B3C"/>
          <w:sz w:val="16"/>
        </w:rPr>
        <w:t>RESOURCE CONVERGENCE</w:t>
      </w:r>
    </w:p>
    <w:p>
      <w:pPr>
        <w:spacing w:after="140"/>
      </w:pPr>
      <w:r>
        <w:rPr>
          <w:rFonts w:ascii="Noto Sans Devanagari" w:hAnsi="Noto Sans Devanagari"/>
          <w:b/>
          <w:color w:val="1E5A3B"/>
          <w:sz w:val="42"/>
        </w:rPr>
        <w:t>धन एवं संसाधन रणनीति</w:t>
      </w:r>
    </w:p>
    <w:p>
      <w:r>
        <w:t>हर परियोजना के लिए पहले उपयुक्त वैधानिक/सरकारी स्रोत की पहचान, फिर convergence और आवश्यकता होने पर CSR/सामुदायिक सहयोग का विकल्प देखा जाएगा।</w:t>
      </w:r>
    </w:p>
    <w:tbl>
      <w:tblPr>
        <w:tblW w:type="auto" w:w="0"/>
        <w:jc w:val="center"/>
        <w:tblLook w:firstColumn="1" w:firstRow="1" w:lastColumn="0" w:lastRow="0" w:noHBand="0" w:noVBand="1" w:val="04A0"/>
      </w:tblPr>
      <w:tblGrid>
        <w:gridCol w:w="3421"/>
        <w:gridCol w:w="3421"/>
        <w:gridCol w:w="3421"/>
      </w:tblGrid>
      <w:tr>
        <w:tc>
          <w:tcPr>
            <w:tcW w:type="dxa" w:w="342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सरकारी योजनाएँ</w:t>
              <w:br/>
              <w:t>विभागीय योजना, पंचायत/ब्लॉक/जिला प्रक्रिया और पात्रता के अनुसार।</w:t>
            </w:r>
          </w:p>
        </w:tc>
        <w:tc>
          <w:tcPr>
            <w:tcW w:type="dxa" w:w="342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जनप्रतिनिधि/स्थानीय संसाधन</w:t>
              <w:br/>
              <w:t>स्वीकृत नियमों और सक्षम प्राधिकारी की प्रक्रिया के अनुसार।</w:t>
            </w:r>
          </w:p>
        </w:tc>
        <w:tc>
          <w:tcPr>
            <w:tcW w:type="dxa" w:w="342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CSR Partnership</w:t>
              <w:br/>
              <w:t>स्पष्ट समस्या, baseline, DPR, outcome, monitoring और maintenance plan के साथ।</w:t>
            </w:r>
          </w:p>
        </w:tc>
      </w:tr>
      <w:tr>
        <w:tc>
          <w:tcPr>
            <w:tcW w:type="dxa" w:w="342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समुदाय</w:t>
              <w:br/>
              <w:t>समय, श्रम, ज्ञान, पौधा, सामग्री या स्वैच्छिक सहयोग - नियमों के अनुरूप।</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तकनीकी संस्थाएँ</w:t>
              <w:br/>
              <w:t>डिजाइन, प्रशिक्षण, सर्वेक्षण, capacity building और evaluation।</w:t>
            </w:r>
          </w:p>
        </w:tc>
        <w:tc>
          <w:tcPr>
            <w:tcW w:type="dxa" w:w="342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Foundation की भूमिका</w:t>
              <w:br/>
              <w:t>समन्वय, दस्तावेजीकरण, जनजागरूकता, follow-up और सार्वजनिक प्रगति संचार।</w:t>
            </w:r>
          </w:p>
        </w:tc>
      </w:tr>
    </w:tbl>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Foundation किसी वैधानिक ग्राम सभा/ग्राम पंचायत का विकल्प नहीं है। आवश्यक स्वीकृतियाँ सक्षम प्राधिकारी से ही होंगी।</w:t>
            </w:r>
          </w:p>
        </w:tc>
      </w:tr>
    </w:tbl>
    <w:p>
      <w:pPr>
        <w:spacing w:after="20"/>
      </w:pPr>
    </w:p>
    <w:p>
      <w:r>
        <w:br w:type="page"/>
      </w:r>
    </w:p>
    <w:p>
      <w:pPr>
        <w:spacing w:after="40"/>
      </w:pPr>
      <w:r>
        <w:rPr>
          <w:b/>
          <w:color w:val="C89B3C"/>
          <w:sz w:val="16"/>
        </w:rPr>
        <w:t>MONITORING FRAMEWORK</w:t>
      </w:r>
    </w:p>
    <w:p>
      <w:pPr>
        <w:spacing w:after="140"/>
      </w:pPr>
      <w:r>
        <w:rPr>
          <w:rFonts w:ascii="Noto Sans Devanagari" w:hAnsi="Noto Sans Devanagari"/>
          <w:b/>
          <w:color w:val="1E5A3B"/>
          <w:sz w:val="42"/>
        </w:rPr>
        <w:t>कार्यान्वयन एवं पारदर्शी निगरानी</w:t>
      </w:r>
    </w:p>
    <w:tbl>
      <w:tblPr>
        <w:tblW w:type="auto" w:w="0"/>
        <w:jc w:val="center"/>
        <w:tblLook w:firstColumn="1" w:firstRow="1" w:lastColumn="0" w:lastRow="0" w:noHBand="0" w:noVBand="1" w:val="04A0"/>
      </w:tblPr>
      <w:tblGrid>
        <w:gridCol w:w="5131"/>
        <w:gridCol w:w="5131"/>
      </w:tblGrid>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Project Register</w:t>
              <w:br/>
              <w:t>हर परियोजना की आवश्यकता, स्थान, विभाग, स्थिति और अगला कदम।</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Action Plan</w:t>
              <w:br/>
              <w:t>समय सीमा, जिम्मेदार stakeholder और milestone।</w:t>
            </w:r>
          </w:p>
        </w:tc>
      </w:tr>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Evidence</w:t>
              <w:br/>
              <w:t>फोटो, पत्र, आवेदन, स्वीकृति, कार्य-प्रगति और completion evidence।</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Public Update</w:t>
              <w:br/>
              <w:t>समुदाय को तथ्यात्मक और नियमित प्रगति सूचना।</w:t>
            </w:r>
          </w:p>
        </w:tc>
      </w:tr>
      <w:tr>
        <w:tc>
          <w:tcPr>
            <w:tcW w:type="dxa" w:w="5131"/>
            <w:shd w:fill="EAF1EA"/>
            <w:tcMar>
              <w:top w:w="100" w:type="dxa"/>
              <w:start w:w="120" w:type="dxa"/>
              <w:bottom w:w="100" w:type="dxa"/>
              <w:end w:w="120" w:type="dxa"/>
            </w:tcMar>
            <w:vAlign w:val="center"/>
          </w:tcPr>
          <w:p>
            <w:pPr>
              <w:jc w:val="left"/>
            </w:pPr>
            <w:r/>
            <w:r>
              <w:rPr>
                <w:rFonts w:ascii="Noto Sans Devanagari" w:hAnsi="Noto Sans Devanagari"/>
                <w:b/>
                <w:color w:val="1E5A3B"/>
                <w:sz w:val="18"/>
              </w:rPr>
              <w:t>Annual Review</w:t>
              <w:br/>
              <w:t>baseline और priorities की वार्षिक समीक्षा।</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color w:val="1E5A3B"/>
                <w:sz w:val="18"/>
              </w:rPr>
              <w:t>Living Document</w:t>
              <w:br/>
              <w:t>नई उपलब्धियों, डेटा और सीख को अगले संस्करण में जोड़ना।</w:t>
            </w:r>
          </w:p>
        </w:tc>
      </w:tr>
    </w:tbl>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जो मापा जाता है, वही बेहतर ढंग से प्रबंधित किया जा सकता है।</w:t>
            </w:r>
          </w:p>
        </w:tc>
      </w:tr>
    </w:tbl>
    <w:p>
      <w:pPr>
        <w:spacing w:after="20"/>
      </w:pPr>
    </w:p>
    <w:p>
      <w:r>
        <w:br w:type="page"/>
      </w:r>
    </w:p>
    <w:p>
      <w:pPr>
        <w:spacing w:after="40"/>
      </w:pPr>
      <w:r>
        <w:rPr>
          <w:b/>
          <w:color w:val="C89B3C"/>
          <w:sz w:val="16"/>
        </w:rPr>
        <w:t>ROADMAP</w:t>
      </w:r>
    </w:p>
    <w:p>
      <w:pPr>
        <w:spacing w:after="140"/>
      </w:pPr>
      <w:r>
        <w:rPr>
          <w:rFonts w:ascii="Noto Sans Devanagari" w:hAnsi="Noto Sans Devanagari"/>
          <w:b/>
          <w:color w:val="1E5A3B"/>
          <w:sz w:val="42"/>
        </w:rPr>
        <w:t>Vision Ghooncha 2047</w:t>
      </w:r>
    </w:p>
    <w:tbl>
      <w:tblPr>
        <w:tblW w:type="auto" w:w="0"/>
        <w:jc w:val="center"/>
        <w:tblLook w:firstColumn="1" w:firstRow="1" w:lastColumn="0" w:lastRow="0" w:noHBand="0" w:noVBand="1" w:val="04A0"/>
      </w:tblPr>
      <w:tblGrid>
        <w:gridCol w:w="5131"/>
        <w:gridCol w:w="5131"/>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2"/>
              </w:rPr>
              <w:t>2026-2030</w:t>
              <w:br/>
              <w:t>मजबूत आधार</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val="0"/>
                <w:color w:val="20332A"/>
                <w:sz w:val="19"/>
              </w:rPr>
              <w:t>Baseline verification • basic services • volunteer system • priority projects • transparent tracking</w:t>
            </w:r>
          </w:p>
        </w:tc>
      </w:tr>
    </w:tbl>
    <w:tbl>
      <w:tblPr>
        <w:tblW w:type="auto" w:w="0"/>
        <w:jc w:val="center"/>
        <w:tblLook w:firstColumn="1" w:firstRow="1" w:lastColumn="0" w:lastRow="0" w:noHBand="0" w:noVBand="1" w:val="04A0"/>
      </w:tblPr>
      <w:tblGrid>
        <w:gridCol w:w="5131"/>
        <w:gridCol w:w="5131"/>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2"/>
              </w:rPr>
              <w:t>2031-2035</w:t>
              <w:br/>
              <w:t>विकास की गति</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val="0"/>
                <w:color w:val="20332A"/>
                <w:sz w:val="19"/>
              </w:rPr>
              <w:t>शिक्षा • स्वास्थ्य • कृषि • डिजिटल सेवाएँ • महिला-युवा • आजीविका</w:t>
            </w:r>
          </w:p>
        </w:tc>
      </w:tr>
    </w:tbl>
    <w:tbl>
      <w:tblPr>
        <w:tblW w:type="auto" w:w="0"/>
        <w:jc w:val="center"/>
        <w:tblLook w:firstColumn="1" w:firstRow="1" w:lastColumn="0" w:lastRow="0" w:noHBand="0" w:noVBand="1" w:val="04A0"/>
      </w:tblPr>
      <w:tblGrid>
        <w:gridCol w:w="5131"/>
        <w:gridCol w:w="5131"/>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2"/>
              </w:rPr>
              <w:t>2036-2040</w:t>
              <w:br/>
              <w:t>समृद्धि का विस्तार</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val="0"/>
                <w:color w:val="20332A"/>
                <w:sz w:val="19"/>
              </w:rPr>
              <w:t>स्थायी संस्थागत प्रणालियाँ • पर्यावरण • स्थानीय आर्थिक अवसर • बेहतर सेवा गुणवत्ता</w:t>
            </w:r>
          </w:p>
        </w:tc>
      </w:tr>
    </w:tbl>
    <w:tbl>
      <w:tblPr>
        <w:tblW w:type="auto" w:w="0"/>
        <w:jc w:val="center"/>
        <w:tblLook w:firstColumn="1" w:firstRow="1" w:lastColumn="0" w:lastRow="0" w:noHBand="0" w:noVBand="1" w:val="04A0"/>
      </w:tblPr>
      <w:tblGrid>
        <w:gridCol w:w="5131"/>
        <w:gridCol w:w="5131"/>
      </w:tblGrid>
      <w:tr>
        <w:tc>
          <w:tcPr>
            <w:tcW w:type="dxa" w:w="5131"/>
            <w:shd w:fill="1E5A3B"/>
            <w:tcMar>
              <w:top w:w="100" w:type="dxa"/>
              <w:start w:w="120" w:type="dxa"/>
              <w:bottom w:w="100" w:type="dxa"/>
              <w:end w:w="120" w:type="dxa"/>
            </w:tcMar>
            <w:vAlign w:val="center"/>
          </w:tcPr>
          <w:p>
            <w:pPr>
              <w:jc w:val="center"/>
            </w:pPr>
            <w:r/>
            <w:r>
              <w:rPr>
                <w:rFonts w:ascii="Noto Sans Devanagari" w:hAnsi="Noto Sans Devanagari"/>
                <w:b/>
                <w:color w:val="FFFFFF"/>
                <w:sz w:val="22"/>
              </w:rPr>
              <w:t>2041-2047</w:t>
              <w:br/>
              <w:t>आदर्श एवं आत्मनिर्भर घूँचा</w:t>
            </w:r>
          </w:p>
        </w:tc>
        <w:tc>
          <w:tcPr>
            <w:tcW w:type="dxa" w:w="5131"/>
            <w:shd w:fill="F7F2E7"/>
            <w:tcMar>
              <w:top w:w="100" w:type="dxa"/>
              <w:start w:w="120" w:type="dxa"/>
              <w:bottom w:w="100" w:type="dxa"/>
              <w:end w:w="120" w:type="dxa"/>
            </w:tcMar>
            <w:vAlign w:val="center"/>
          </w:tcPr>
          <w:p>
            <w:pPr>
              <w:jc w:val="left"/>
            </w:pPr>
            <w:r/>
            <w:r>
              <w:rPr>
                <w:rFonts w:ascii="Noto Sans Devanagari" w:hAnsi="Noto Sans Devanagari"/>
                <w:b w:val="0"/>
                <w:color w:val="20332A"/>
                <w:sz w:val="19"/>
              </w:rPr>
              <w:t>समावेशी • डिजिटल • पर्यावरण-अनुकूल • जवाबदेह • replicable rural development model</w:t>
            </w:r>
          </w:p>
        </w:tc>
      </w:tr>
    </w:tbl>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आज की स्पष्ट प्राथमिकताएँ ही 2047 के विकसित घूँचा की नींव बनेंगी।</w:t>
            </w:r>
          </w:p>
        </w:tc>
      </w:tr>
    </w:tbl>
    <w:p>
      <w:pPr>
        <w:spacing w:after="20"/>
      </w:pPr>
    </w:p>
    <w:p>
      <w:r>
        <w:br w:type="page"/>
      </w:r>
    </w:p>
    <w:p>
      <w:pPr>
        <w:spacing w:after="40"/>
      </w:pPr>
      <w:r>
        <w:rPr>
          <w:b/>
          <w:color w:val="C89B3C"/>
          <w:sz w:val="16"/>
        </w:rPr>
        <w:t>EXPECTED OUTCOMES</w:t>
      </w:r>
    </w:p>
    <w:p>
      <w:pPr>
        <w:spacing w:after="140"/>
      </w:pPr>
      <w:r>
        <w:rPr>
          <w:rFonts w:ascii="Noto Sans Devanagari" w:hAnsi="Noto Sans Devanagari"/>
          <w:b/>
          <w:color w:val="1E5A3B"/>
          <w:sz w:val="42"/>
        </w:rPr>
        <w:t>हम सफलता कैसे पहचानेंगे?</w:t>
      </w:r>
    </w:p>
    <w:p>
      <w:pPr>
        <w:pStyle w:val="ListBullet"/>
        <w:spacing w:after="60"/>
      </w:pPr>
      <w:r>
        <w:rPr>
          <w:rFonts w:ascii="Noto Sans Devanagari" w:hAnsi="Noto Sans Devanagari"/>
          <w:sz w:val="20"/>
        </w:rPr>
        <w:t>बेहतर और अधिक विश्वसनीय सार्वजनिक सेवाएँ</w:t>
      </w:r>
    </w:p>
    <w:p>
      <w:pPr>
        <w:pStyle w:val="ListBullet"/>
        <w:spacing w:after="60"/>
      </w:pPr>
      <w:r>
        <w:rPr>
          <w:rFonts w:ascii="Noto Sans Devanagari" w:hAnsi="Noto Sans Devanagari"/>
          <w:sz w:val="20"/>
        </w:rPr>
        <w:t>बच्चों/युवाओं के लिए सीखने और कौशल के अवसर</w:t>
      </w:r>
    </w:p>
    <w:p>
      <w:pPr>
        <w:pStyle w:val="ListBullet"/>
        <w:spacing w:after="60"/>
      </w:pPr>
      <w:r>
        <w:rPr>
          <w:rFonts w:ascii="Noto Sans Devanagari" w:hAnsi="Noto Sans Devanagari"/>
          <w:sz w:val="20"/>
        </w:rPr>
        <w:t>स्वास्थ्य, पोषण, सुरक्षित जल और स्वच्छ वातावरण</w:t>
      </w:r>
    </w:p>
    <w:p>
      <w:pPr>
        <w:pStyle w:val="ListBullet"/>
        <w:spacing w:after="60"/>
      </w:pPr>
      <w:r>
        <w:rPr>
          <w:rFonts w:ascii="Noto Sans Devanagari" w:hAnsi="Noto Sans Devanagari"/>
          <w:sz w:val="20"/>
        </w:rPr>
        <w:t>किसान, महिला और युवा के लिए बेहतर अवसर</w:t>
      </w:r>
    </w:p>
    <w:p>
      <w:pPr>
        <w:pStyle w:val="ListBullet"/>
        <w:spacing w:after="60"/>
      </w:pPr>
      <w:r>
        <w:rPr>
          <w:rFonts w:ascii="Noto Sans Devanagari" w:hAnsi="Noto Sans Devanagari"/>
          <w:sz w:val="20"/>
        </w:rPr>
        <w:t>डिजिटल पहुँच और सरकारी योजनाओं की जानकारी</w:t>
      </w:r>
    </w:p>
    <w:p>
      <w:pPr>
        <w:pStyle w:val="ListBullet"/>
        <w:spacing w:after="60"/>
      </w:pPr>
      <w:r>
        <w:rPr>
          <w:rFonts w:ascii="Noto Sans Devanagari" w:hAnsi="Noto Sans Devanagari"/>
          <w:sz w:val="20"/>
        </w:rPr>
        <w:t>सामुदायिक सहयोग और नागरिक जिम्मेदारी</w:t>
      </w:r>
    </w:p>
    <w:p>
      <w:pPr>
        <w:pStyle w:val="ListBullet"/>
        <w:spacing w:after="60"/>
      </w:pPr>
      <w:r>
        <w:rPr>
          <w:rFonts w:ascii="Noto Sans Devanagari" w:hAnsi="Noto Sans Devanagari"/>
          <w:sz w:val="20"/>
        </w:rPr>
        <w:t>परियोजनाओं में दस्तावेजीकरण और पारदर्शी प्रगति समीक्षा</w:t>
      </w:r>
    </w:p>
    <w:p>
      <w:pPr>
        <w:pStyle w:val="ListBullet"/>
        <w:spacing w:after="60"/>
      </w:pPr>
      <w:r>
        <w:rPr>
          <w:rFonts w:ascii="Noto Sans Devanagari" w:hAnsi="Noto Sans Devanagari"/>
          <w:sz w:val="20"/>
        </w:rPr>
        <w:t>दीर्घकालिक रखरखाव और संस्थागत निरंतरता</w:t>
      </w:r>
    </w:p>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आदर्श ग्राम पंचायत = सेवा गुणवत्ता + जागरूक नागरिक + सामाजिक समरसता + पारदर्शिता + सतत विकास</w:t>
            </w:r>
          </w:p>
        </w:tc>
      </w:tr>
    </w:tbl>
    <w:p>
      <w:pPr>
        <w:spacing w:after="20"/>
      </w:pPr>
    </w:p>
    <w:p>
      <w:r>
        <w:br w:type="page"/>
      </w:r>
    </w:p>
    <w:p>
      <w:pPr>
        <w:spacing w:after="40"/>
      </w:pPr>
      <w:r>
        <w:rPr>
          <w:b/>
          <w:color w:val="C89B3C"/>
          <w:sz w:val="16"/>
        </w:rPr>
        <w:t>REPLICATION</w:t>
      </w:r>
    </w:p>
    <w:p>
      <w:pPr>
        <w:spacing w:after="140"/>
      </w:pPr>
      <w:r>
        <w:rPr>
          <w:rFonts w:ascii="Noto Sans Devanagari" w:hAnsi="Noto Sans Devanagari"/>
          <w:b/>
          <w:color w:val="1E5A3B"/>
          <w:sz w:val="42"/>
        </w:rPr>
        <w:t>घूँचा मॉडल - अन्य ग्राम पंचायतें कैसे अपनाएँ</w:t>
      </w:r>
    </w:p>
    <w:tbl>
      <w:tblPr>
        <w:tblW w:type="auto" w:w="0"/>
        <w:jc w:val="center"/>
        <w:tblLook w:firstColumn="1" w:firstRow="1" w:lastColumn="0" w:lastRow="0" w:noHBand="0" w:noVBand="1" w:val="04A0"/>
      </w:tblPr>
      <w:tblGrid>
        <w:gridCol w:w="5131"/>
        <w:gridCol w:w="5131"/>
      </w:tblGrid>
      <w:tr>
        <w:tc>
          <w:tcPr>
            <w:tcW w:type="dxa" w:w="5131"/>
            <w:shd w:fill="EAF1EA"/>
            <w:tcMar>
              <w:top w:w="100" w:type="dxa"/>
              <w:start w:w="120" w:type="dxa"/>
              <w:bottom w:w="100" w:type="dxa"/>
              <w:end w:w="120" w:type="dxa"/>
            </w:tcMar>
            <w:vAlign w:val="center"/>
          </w:tcPr>
          <w:p>
            <w:pPr>
              <w:jc w:val="center"/>
            </w:pPr>
            <w:r/>
            <w:r>
              <w:rPr>
                <w:rFonts w:ascii="Noto Sans Devanagari" w:hAnsi="Noto Sans Devanagari"/>
                <w:b/>
                <w:color w:val="1E5A3B"/>
                <w:sz w:val="22"/>
              </w:rPr>
              <w:t>01  Baseline</w:t>
            </w:r>
          </w:p>
        </w:tc>
        <w:tc>
          <w:tcPr>
            <w:tcW w:type="dxa" w:w="5131"/>
            <w:shd w:fill="F7F2E7"/>
            <w:tcMar>
              <w:top w:w="100" w:type="dxa"/>
              <w:start w:w="120" w:type="dxa"/>
              <w:bottom w:w="100" w:type="dxa"/>
              <w:end w:w="120" w:type="dxa"/>
            </w:tcMar>
            <w:vAlign w:val="center"/>
          </w:tcPr>
          <w:p>
            <w:pPr>
              <w:jc w:val="center"/>
            </w:pPr>
            <w:r/>
            <w:r>
              <w:rPr>
                <w:rFonts w:ascii="Noto Sans Devanagari" w:hAnsi="Noto Sans Devanagari"/>
                <w:b/>
                <w:color w:val="1E5A3B"/>
                <w:sz w:val="22"/>
              </w:rPr>
              <w:t>02  Priorities</w:t>
            </w:r>
          </w:p>
        </w:tc>
      </w:tr>
      <w:tr>
        <w:tc>
          <w:tcPr>
            <w:tcW w:type="dxa" w:w="5131"/>
            <w:shd w:fill="EAF1EA"/>
            <w:tcMar>
              <w:top w:w="100" w:type="dxa"/>
              <w:start w:w="120" w:type="dxa"/>
              <w:bottom w:w="100" w:type="dxa"/>
              <w:end w:w="120" w:type="dxa"/>
            </w:tcMar>
            <w:vAlign w:val="center"/>
          </w:tcPr>
          <w:p>
            <w:pPr>
              <w:jc w:val="center"/>
            </w:pPr>
            <w:r/>
            <w:r>
              <w:rPr>
                <w:rFonts w:ascii="Noto Sans Devanagari" w:hAnsi="Noto Sans Devanagari"/>
                <w:b/>
                <w:color w:val="1E5A3B"/>
                <w:sz w:val="22"/>
              </w:rPr>
              <w:t>03  Community Participation</w:t>
            </w:r>
          </w:p>
        </w:tc>
        <w:tc>
          <w:tcPr>
            <w:tcW w:type="dxa" w:w="5131"/>
            <w:shd w:fill="F7F2E7"/>
            <w:tcMar>
              <w:top w:w="100" w:type="dxa"/>
              <w:start w:w="120" w:type="dxa"/>
              <w:bottom w:w="100" w:type="dxa"/>
              <w:end w:w="120" w:type="dxa"/>
            </w:tcMar>
            <w:vAlign w:val="center"/>
          </w:tcPr>
          <w:p>
            <w:pPr>
              <w:jc w:val="center"/>
            </w:pPr>
            <w:r/>
            <w:r>
              <w:rPr>
                <w:rFonts w:ascii="Noto Sans Devanagari" w:hAnsi="Noto Sans Devanagari"/>
                <w:b/>
                <w:color w:val="1E5A3B"/>
                <w:sz w:val="22"/>
              </w:rPr>
              <w:t>04  Scheme / Resource Mapping</w:t>
            </w:r>
          </w:p>
        </w:tc>
      </w:tr>
      <w:tr>
        <w:tc>
          <w:tcPr>
            <w:tcW w:type="dxa" w:w="5131"/>
            <w:shd w:fill="EAF1EA"/>
            <w:tcMar>
              <w:top w:w="100" w:type="dxa"/>
              <w:start w:w="120" w:type="dxa"/>
              <w:bottom w:w="100" w:type="dxa"/>
              <w:end w:w="120" w:type="dxa"/>
            </w:tcMar>
            <w:vAlign w:val="center"/>
          </w:tcPr>
          <w:p>
            <w:pPr>
              <w:jc w:val="center"/>
            </w:pPr>
            <w:r/>
            <w:r>
              <w:rPr>
                <w:rFonts w:ascii="Noto Sans Devanagari" w:hAnsi="Noto Sans Devanagari"/>
                <w:b/>
                <w:color w:val="1E5A3B"/>
                <w:sz w:val="22"/>
              </w:rPr>
              <w:t>05  Project / DPR</w:t>
            </w:r>
          </w:p>
        </w:tc>
        <w:tc>
          <w:tcPr>
            <w:tcW w:type="dxa" w:w="5131"/>
            <w:shd w:fill="F7F2E7"/>
            <w:tcMar>
              <w:top w:w="100" w:type="dxa"/>
              <w:start w:w="120" w:type="dxa"/>
              <w:bottom w:w="100" w:type="dxa"/>
              <w:end w:w="120" w:type="dxa"/>
            </w:tcMar>
            <w:vAlign w:val="center"/>
          </w:tcPr>
          <w:p>
            <w:pPr>
              <w:jc w:val="center"/>
            </w:pPr>
            <w:r/>
            <w:r>
              <w:rPr>
                <w:rFonts w:ascii="Noto Sans Devanagari" w:hAnsi="Noto Sans Devanagari"/>
                <w:b/>
                <w:color w:val="1E5A3B"/>
                <w:sz w:val="22"/>
              </w:rPr>
              <w:t>06  Implementation</w:t>
            </w:r>
          </w:p>
        </w:tc>
      </w:tr>
      <w:tr>
        <w:tc>
          <w:tcPr>
            <w:tcW w:type="dxa" w:w="5131"/>
            <w:shd w:fill="EAF1EA"/>
            <w:tcMar>
              <w:top w:w="100" w:type="dxa"/>
              <w:start w:w="120" w:type="dxa"/>
              <w:bottom w:w="100" w:type="dxa"/>
              <w:end w:w="120" w:type="dxa"/>
            </w:tcMar>
            <w:vAlign w:val="center"/>
          </w:tcPr>
          <w:p>
            <w:pPr>
              <w:jc w:val="center"/>
            </w:pPr>
            <w:r/>
            <w:r>
              <w:rPr>
                <w:rFonts w:ascii="Noto Sans Devanagari" w:hAnsi="Noto Sans Devanagari"/>
                <w:b/>
                <w:color w:val="1E5A3B"/>
                <w:sz w:val="22"/>
              </w:rPr>
              <w:t>07  Monitoring Dashboard</w:t>
            </w:r>
          </w:p>
        </w:tc>
        <w:tc>
          <w:tcPr>
            <w:tcW w:type="dxa" w:w="5131"/>
            <w:shd w:fill="F7F2E7"/>
            <w:tcMar>
              <w:top w:w="100" w:type="dxa"/>
              <w:start w:w="120" w:type="dxa"/>
              <w:bottom w:w="100" w:type="dxa"/>
              <w:end w:w="120" w:type="dxa"/>
            </w:tcMar>
            <w:vAlign w:val="center"/>
          </w:tcPr>
          <w:p>
            <w:pPr>
              <w:jc w:val="center"/>
            </w:pPr>
            <w:r/>
            <w:r>
              <w:rPr>
                <w:rFonts w:ascii="Noto Sans Devanagari" w:hAnsi="Noto Sans Devanagari"/>
                <w:b/>
                <w:color w:val="1E5A3B"/>
                <w:sz w:val="22"/>
              </w:rPr>
              <w:t>08  Review &amp; Update</w:t>
            </w:r>
          </w:p>
        </w:tc>
      </w:tr>
    </w:tbl>
    <w:p>
      <w:r>
        <w:t>यह मॉडल किसी एक गाँव की नकल नहीं, बल्कि स्थानीय परिस्थितियों के अनुसार अनुकूलित की जाने वाली प्रक्रिया है। प्रत्येक ग्राम पंचायत अपने डेटा, संसाधन, संस्थागत क्षमता और नागरिक प्राथमिकताओं के अनुसार इसे संशोधित कर सकती है।</w:t>
      </w:r>
    </w:p>
    <w:p>
      <w:r>
        <w:br w:type="page"/>
      </w:r>
    </w:p>
    <w:p>
      <w:pPr>
        <w:spacing w:after="40"/>
      </w:pPr>
      <w:r>
        <w:rPr>
          <w:b/>
          <w:color w:val="C89B3C"/>
          <w:sz w:val="16"/>
        </w:rPr>
        <w:t>PARTNERSHIP</w:t>
      </w:r>
    </w:p>
    <w:p>
      <w:pPr>
        <w:spacing w:after="140"/>
      </w:pPr>
      <w:r>
        <w:rPr>
          <w:rFonts w:ascii="Noto Sans Devanagari" w:hAnsi="Noto Sans Devanagari"/>
          <w:b/>
          <w:color w:val="1E5A3B"/>
          <w:sz w:val="42"/>
        </w:rPr>
        <w:t>Administration &amp; CSR Partnership Brief</w:t>
      </w:r>
    </w:p>
    <w:p>
      <w:r>
        <w:t>Vision Ghooncha Foundation सहयोगात्मक भूमिका में प्रशासनिक विभागों, जनप्रतिनिधियों, CSR संस्थाओं, शैक्षणिक संस्थानों और विशेषज्ञों के साथ evidence-based project partnership विकसित करना चाहता है।</w:t>
      </w:r>
    </w:p>
    <w:p>
      <w:pPr>
        <w:spacing w:after="140"/>
      </w:pPr>
      <w:r>
        <w:rPr>
          <w:rFonts w:ascii="Noto Sans Devanagari" w:hAnsi="Noto Sans Devanagari"/>
          <w:b/>
          <w:color w:val="1E5A3B"/>
          <w:sz w:val="42"/>
        </w:rPr>
        <w:t>सहयोग के प्रमुख क्षेत्र</w:t>
      </w:r>
    </w:p>
    <w:p>
      <w:pPr>
        <w:pStyle w:val="ListBullet"/>
        <w:spacing w:after="60"/>
      </w:pPr>
      <w:r>
        <w:rPr>
          <w:rFonts w:ascii="Noto Sans Devanagari" w:hAnsi="Noto Sans Devanagari"/>
          <w:sz w:val="20"/>
        </w:rPr>
        <w:t>तकनीकी मार्गदर्शन और project design</w:t>
      </w:r>
    </w:p>
    <w:p>
      <w:pPr>
        <w:pStyle w:val="ListBullet"/>
        <w:spacing w:after="60"/>
      </w:pPr>
      <w:r>
        <w:rPr>
          <w:rFonts w:ascii="Noto Sans Devanagari" w:hAnsi="Noto Sans Devanagari"/>
          <w:sz w:val="20"/>
        </w:rPr>
        <w:t>सरकारी योजनाओं/विभागों के साथ convergence</w:t>
      </w:r>
    </w:p>
    <w:p>
      <w:pPr>
        <w:pStyle w:val="ListBullet"/>
        <w:spacing w:after="60"/>
      </w:pPr>
      <w:r>
        <w:rPr>
          <w:rFonts w:ascii="Noto Sans Devanagari" w:hAnsi="Noto Sans Devanagari"/>
          <w:sz w:val="20"/>
        </w:rPr>
        <w:t>पेयजल, शिक्षा, स्वच्छता, खेल, डिजिटल और सार्वजनिक अवसंरचना support</w:t>
      </w:r>
    </w:p>
    <w:p>
      <w:pPr>
        <w:pStyle w:val="ListBullet"/>
        <w:spacing w:after="60"/>
      </w:pPr>
      <w:r>
        <w:rPr>
          <w:rFonts w:ascii="Noto Sans Devanagari" w:hAnsi="Noto Sans Devanagari"/>
          <w:sz w:val="20"/>
        </w:rPr>
        <w:t>capacity building और volunteer training</w:t>
      </w:r>
    </w:p>
    <w:p>
      <w:pPr>
        <w:pStyle w:val="ListBullet"/>
        <w:spacing w:after="60"/>
      </w:pPr>
      <w:r>
        <w:rPr>
          <w:rFonts w:ascii="Noto Sans Devanagari" w:hAnsi="Noto Sans Devanagari"/>
          <w:sz w:val="20"/>
        </w:rPr>
        <w:t>CSR परियोजनाओं के लिए baseline, DPR, monitoring और outcome documentation</w:t>
      </w:r>
    </w:p>
    <w:p>
      <w:pPr>
        <w:pStyle w:val="ListBullet"/>
        <w:spacing w:after="60"/>
      </w:pPr>
      <w:r>
        <w:rPr>
          <w:rFonts w:ascii="Noto Sans Devanagari" w:hAnsi="Noto Sans Devanagari"/>
          <w:sz w:val="20"/>
        </w:rPr>
        <w:t>वार्षिक review और learning partnership</w:t>
      </w:r>
    </w:p>
    <w:p>
      <w:pPr>
        <w:spacing w:after="140"/>
      </w:pPr>
      <w:r>
        <w:rPr>
          <w:rFonts w:ascii="Noto Sans Devanagari" w:hAnsi="Noto Sans Devanagari"/>
          <w:b/>
          <w:color w:val="1E5A3B"/>
          <w:sz w:val="42"/>
        </w:rPr>
        <w:t>हम क्या प्रदान करेंगे?</w:t>
      </w:r>
    </w:p>
    <w:p>
      <w:pPr>
        <w:pStyle w:val="ListBullet"/>
        <w:spacing w:after="60"/>
      </w:pPr>
      <w:r>
        <w:rPr>
          <w:rFonts w:ascii="Noto Sans Devanagari" w:hAnsi="Noto Sans Devanagari"/>
          <w:sz w:val="20"/>
        </w:rPr>
        <w:t>स्थानीय समस्या और उपलब्ध baseline का दस्तावेजीकरण</w:t>
      </w:r>
    </w:p>
    <w:p>
      <w:pPr>
        <w:pStyle w:val="ListBullet"/>
        <w:spacing w:after="60"/>
      </w:pPr>
      <w:r>
        <w:rPr>
          <w:rFonts w:ascii="Noto Sans Devanagari" w:hAnsi="Noto Sans Devanagari"/>
          <w:sz w:val="20"/>
        </w:rPr>
        <w:t>स्थल-फोटो और community inputs</w:t>
      </w:r>
    </w:p>
    <w:p>
      <w:pPr>
        <w:pStyle w:val="ListBullet"/>
        <w:spacing w:after="60"/>
      </w:pPr>
      <w:r>
        <w:rPr>
          <w:rFonts w:ascii="Noto Sans Devanagari" w:hAnsi="Noto Sans Devanagari"/>
          <w:sz w:val="20"/>
        </w:rPr>
        <w:t>समन्वय और नियमित follow-up</w:t>
      </w:r>
    </w:p>
    <w:p>
      <w:pPr>
        <w:pStyle w:val="ListBullet"/>
        <w:spacing w:after="60"/>
      </w:pPr>
      <w:r>
        <w:rPr>
          <w:rFonts w:ascii="Noto Sans Devanagari" w:hAnsi="Noto Sans Devanagari"/>
          <w:sz w:val="20"/>
        </w:rPr>
        <w:t>progress evidence और public communication</w:t>
      </w:r>
    </w:p>
    <w:p>
      <w:pPr>
        <w:pStyle w:val="ListBullet"/>
        <w:spacing w:after="60"/>
      </w:pPr>
      <w:r>
        <w:rPr>
          <w:rFonts w:ascii="Noto Sans Devanagari" w:hAnsi="Noto Sans Devanagari"/>
          <w:sz w:val="20"/>
        </w:rPr>
        <w:t>maintenance/ownership पर समुदाय के साथ संवाद</w:t>
      </w:r>
    </w:p>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साझेदारी का उद्देश्य: दिखाई देने वाला काम + मापनीय परिणाम + दीर्घकालिक उपयोगिता।</w:t>
            </w:r>
          </w:p>
        </w:tc>
      </w:tr>
    </w:tbl>
    <w:p>
      <w:pPr>
        <w:spacing w:after="20"/>
      </w:pPr>
    </w:p>
    <w:p>
      <w:r>
        <w:br w:type="page"/>
      </w:r>
    </w:p>
    <w:p>
      <w:pPr>
        <w:spacing w:after="40"/>
      </w:pPr>
      <w:r>
        <w:rPr>
          <w:b/>
          <w:color w:val="C89B3C"/>
          <w:sz w:val="16"/>
        </w:rPr>
        <w:t>DIGITAL CONNECT</w:t>
      </w:r>
    </w:p>
    <w:p>
      <w:pPr>
        <w:spacing w:after="140"/>
      </w:pPr>
      <w:r>
        <w:rPr>
          <w:rFonts w:ascii="Noto Sans Devanagari" w:hAnsi="Noto Sans Devanagari"/>
          <w:b/>
          <w:color w:val="1E5A3B"/>
          <w:sz w:val="42"/>
        </w:rPr>
        <w:t>Connect • Participate • Support</w:t>
      </w:r>
    </w:p>
    <w:p>
      <w:r>
        <w:t>Foundation के सार्वजनिक संचार माध्यम ग्राम विकास से संबंधित अपडेट, सहभागिता और दस्तावेज साझा करने के लिए उपयोग किए जाते हैं।</w:t>
      </w:r>
    </w:p>
    <w:tbl>
      <w:tblPr>
        <w:tblW w:type="auto" w:w="0"/>
        <w:jc w:val="center"/>
        <w:tblLook w:firstColumn="1" w:firstRow="1" w:lastColumn="0" w:lastRow="0" w:noHBand="0" w:noVBand="1" w:val="04A0"/>
      </w:tblPr>
      <w:tblGrid>
        <w:gridCol w:w="3421"/>
        <w:gridCol w:w="3421"/>
        <w:gridCol w:w="3421"/>
      </w:tblGrid>
      <w:tr>
        <w:tc>
          <w:tcPr>
            <w:tcW w:type="dxa" w:w="3421"/>
            <w:shd w:fill="FFFFFF"/>
          </w:tcPr>
          <w:p>
            <w:pPr>
              <w:jc w:val="center"/>
            </w:pPr>
            <w:r>
              <w:drawing>
                <wp:inline xmlns:a="http://schemas.openxmlformats.org/drawingml/2006/main" xmlns:pic="http://schemas.openxmlformats.org/drawingml/2006/picture">
                  <wp:extent cx="1260000" cy="1260000"/>
                  <wp:docPr id="5" name="Picture 5"/>
                  <wp:cNvGraphicFramePr>
                    <a:graphicFrameLocks noChangeAspect="1"/>
                  </wp:cNvGraphicFramePr>
                  <a:graphic>
                    <a:graphicData uri="http://schemas.openxmlformats.org/drawingml/2006/picture">
                      <pic:pic>
                        <pic:nvPicPr>
                          <pic:cNvPr id="0" name="qr_WhatsApp_Channel.png"/>
                          <pic:cNvPicPr/>
                        </pic:nvPicPr>
                        <pic:blipFill>
                          <a:blip r:embed="rId15"/>
                          <a:stretch>
                            <a:fillRect/>
                          </a:stretch>
                        </pic:blipFill>
                        <pic:spPr>
                          <a:xfrm>
                            <a:off x="0" y="0"/>
                            <a:ext cx="1260000" cy="1260000"/>
                          </a:xfrm>
                          <a:prstGeom prst="rect"/>
                        </pic:spPr>
                      </pic:pic>
                    </a:graphicData>
                  </a:graphic>
                </wp:inline>
              </w:drawing>
            </w:r>
            <w:r>
              <w:rPr>
                <w:b/>
                <w:color w:val="1E5A3B"/>
                <w:sz w:val="18"/>
              </w:rPr>
              <w:br/>
              <w:t>WhatsApp Channel</w:t>
            </w:r>
          </w:p>
        </w:tc>
        <w:tc>
          <w:tcPr>
            <w:tcW w:type="dxa" w:w="3421"/>
            <w:shd w:fill="FFFFFF"/>
          </w:tcPr>
          <w:p>
            <w:pPr>
              <w:jc w:val="center"/>
            </w:pPr>
            <w:r>
              <w:drawing>
                <wp:inline xmlns:a="http://schemas.openxmlformats.org/drawingml/2006/main" xmlns:pic="http://schemas.openxmlformats.org/drawingml/2006/picture">
                  <wp:extent cx="1260000" cy="1260000"/>
                  <wp:docPr id="6" name="Picture 6"/>
                  <wp:cNvGraphicFramePr>
                    <a:graphicFrameLocks noChangeAspect="1"/>
                  </wp:cNvGraphicFramePr>
                  <a:graphic>
                    <a:graphicData uri="http://schemas.openxmlformats.org/drawingml/2006/picture">
                      <pic:pic>
                        <pic:nvPicPr>
                          <pic:cNvPr id="0" name="qr_WhatsApp_Group.png"/>
                          <pic:cNvPicPr/>
                        </pic:nvPicPr>
                        <pic:blipFill>
                          <a:blip r:embed="rId16"/>
                          <a:stretch>
                            <a:fillRect/>
                          </a:stretch>
                        </pic:blipFill>
                        <pic:spPr>
                          <a:xfrm>
                            <a:off x="0" y="0"/>
                            <a:ext cx="1260000" cy="1260000"/>
                          </a:xfrm>
                          <a:prstGeom prst="rect"/>
                        </pic:spPr>
                      </pic:pic>
                    </a:graphicData>
                  </a:graphic>
                </wp:inline>
              </w:drawing>
            </w:r>
            <w:r>
              <w:rPr>
                <w:b/>
                <w:color w:val="1E5A3B"/>
                <w:sz w:val="18"/>
              </w:rPr>
              <w:br/>
              <w:t>WhatsApp Group</w:t>
            </w:r>
          </w:p>
        </w:tc>
        <w:tc>
          <w:tcPr>
            <w:tcW w:type="dxa" w:w="3421"/>
            <w:shd w:fill="FFFFFF"/>
          </w:tcPr>
          <w:p>
            <w:pPr>
              <w:jc w:val="center"/>
            </w:pPr>
            <w:r>
              <w:drawing>
                <wp:inline xmlns:a="http://schemas.openxmlformats.org/drawingml/2006/main" xmlns:pic="http://schemas.openxmlformats.org/drawingml/2006/picture">
                  <wp:extent cx="1260000" cy="1260000"/>
                  <wp:docPr id="7" name="Picture 7"/>
                  <wp:cNvGraphicFramePr>
                    <a:graphicFrameLocks noChangeAspect="1"/>
                  </wp:cNvGraphicFramePr>
                  <a:graphic>
                    <a:graphicData uri="http://schemas.openxmlformats.org/drawingml/2006/picture">
                      <pic:pic>
                        <pic:nvPicPr>
                          <pic:cNvPr id="0" name="qr_Facebook.png"/>
                          <pic:cNvPicPr/>
                        </pic:nvPicPr>
                        <pic:blipFill>
                          <a:blip r:embed="rId17"/>
                          <a:stretch>
                            <a:fillRect/>
                          </a:stretch>
                        </pic:blipFill>
                        <pic:spPr>
                          <a:xfrm>
                            <a:off x="0" y="0"/>
                            <a:ext cx="1260000" cy="1260000"/>
                          </a:xfrm>
                          <a:prstGeom prst="rect"/>
                        </pic:spPr>
                      </pic:pic>
                    </a:graphicData>
                  </a:graphic>
                </wp:inline>
              </w:drawing>
            </w:r>
            <w:r>
              <w:rPr>
                <w:b/>
                <w:color w:val="1E5A3B"/>
                <w:sz w:val="18"/>
              </w:rPr>
              <w:br/>
              <w:t>Facebook</w:t>
            </w:r>
          </w:p>
        </w:tc>
      </w:tr>
      <w:tr>
        <w:tc>
          <w:tcPr>
            <w:tcW w:type="dxa" w:w="3421"/>
            <w:shd w:fill="FFFFFF"/>
          </w:tcPr>
          <w:p>
            <w:pPr>
              <w:jc w:val="center"/>
            </w:pPr>
            <w:r>
              <w:drawing>
                <wp:inline xmlns:a="http://schemas.openxmlformats.org/drawingml/2006/main" xmlns:pic="http://schemas.openxmlformats.org/drawingml/2006/picture">
                  <wp:extent cx="1260000" cy="1260000"/>
                  <wp:docPr id="8" name="Picture 8"/>
                  <wp:cNvGraphicFramePr>
                    <a:graphicFrameLocks noChangeAspect="1"/>
                  </wp:cNvGraphicFramePr>
                  <a:graphic>
                    <a:graphicData uri="http://schemas.openxmlformats.org/drawingml/2006/picture">
                      <pic:pic>
                        <pic:nvPicPr>
                          <pic:cNvPr id="0" name="qr_X_visionghooncha_.png"/>
                          <pic:cNvPicPr/>
                        </pic:nvPicPr>
                        <pic:blipFill>
                          <a:blip r:embed="rId18"/>
                          <a:stretch>
                            <a:fillRect/>
                          </a:stretch>
                        </pic:blipFill>
                        <pic:spPr>
                          <a:xfrm>
                            <a:off x="0" y="0"/>
                            <a:ext cx="1260000" cy="1260000"/>
                          </a:xfrm>
                          <a:prstGeom prst="rect"/>
                        </pic:spPr>
                      </pic:pic>
                    </a:graphicData>
                  </a:graphic>
                </wp:inline>
              </w:drawing>
            </w:r>
            <w:r>
              <w:rPr>
                <w:b/>
                <w:color w:val="1E5A3B"/>
                <w:sz w:val="18"/>
              </w:rPr>
              <w:br/>
              <w:t>X</w:t>
            </w:r>
          </w:p>
        </w:tc>
        <w:tc>
          <w:tcPr>
            <w:tcW w:type="dxa" w:w="3421"/>
            <w:shd w:fill="FFFFFF"/>
          </w:tcPr>
          <w:p>
            <w:pPr>
              <w:jc w:val="center"/>
            </w:pPr>
            <w:r>
              <w:drawing>
                <wp:inline xmlns:a="http://schemas.openxmlformats.org/drawingml/2006/main" xmlns:pic="http://schemas.openxmlformats.org/drawingml/2006/picture">
                  <wp:extent cx="1260000" cy="1260000"/>
                  <wp:docPr id="9" name="Picture 9"/>
                  <wp:cNvGraphicFramePr>
                    <a:graphicFrameLocks noChangeAspect="1"/>
                  </wp:cNvGraphicFramePr>
                  <a:graphic>
                    <a:graphicData uri="http://schemas.openxmlformats.org/drawingml/2006/picture">
                      <pic:pic>
                        <pic:nvPicPr>
                          <pic:cNvPr id="0" name="qr_Instagram_visionghooncha_.png"/>
                          <pic:cNvPicPr/>
                        </pic:nvPicPr>
                        <pic:blipFill>
                          <a:blip r:embed="rId19"/>
                          <a:stretch>
                            <a:fillRect/>
                          </a:stretch>
                        </pic:blipFill>
                        <pic:spPr>
                          <a:xfrm>
                            <a:off x="0" y="0"/>
                            <a:ext cx="1260000" cy="1260000"/>
                          </a:xfrm>
                          <a:prstGeom prst="rect"/>
                        </pic:spPr>
                      </pic:pic>
                    </a:graphicData>
                  </a:graphic>
                </wp:inline>
              </w:drawing>
            </w:r>
            <w:r>
              <w:rPr>
                <w:b/>
                <w:color w:val="1E5A3B"/>
                <w:sz w:val="18"/>
              </w:rPr>
              <w:br/>
              <w:t>Instagram</w:t>
            </w:r>
          </w:p>
        </w:tc>
        <w:tc>
          <w:tcPr>
            <w:tcW w:type="dxa" w:w="3421"/>
          </w:tcPr>
          <w:p/>
        </w:tc>
      </w:tr>
    </w:tbl>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I ♥ GHOONCHA   •   जनभागीदारी से समृद्धि की ओर</w:t>
            </w:r>
          </w:p>
        </w:tc>
      </w:tr>
    </w:tbl>
    <w:p>
      <w:pPr>
        <w:spacing w:after="20"/>
      </w:pPr>
    </w:p>
    <w:p>
      <w:r>
        <w:br w:type="page"/>
      </w:r>
    </w:p>
    <w:p>
      <w:pPr>
        <w:spacing w:after="40"/>
      </w:pPr>
      <w:r>
        <w:rPr>
          <w:b/>
          <w:color w:val="C89B3C"/>
          <w:sz w:val="16"/>
        </w:rPr>
        <w:t>CLOSING COMMITMENT</w:t>
      </w:r>
    </w:p>
    <w:p>
      <w:pPr>
        <w:spacing w:after="140"/>
      </w:pPr>
      <w:r>
        <w:rPr>
          <w:rFonts w:ascii="Noto Sans Devanagari" w:hAnsi="Noto Sans Devanagari"/>
          <w:b/>
          <w:color w:val="1E5A3B"/>
          <w:sz w:val="42"/>
        </w:rPr>
        <w:t>हमारा गाँव - हमारा संकल्प</w:t>
      </w:r>
    </w:p>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“व्यक्ति बदल सकते हैं, लेकिन विज़न नहीं।</w:t>
              <w:br/>
              <w:t>प्रधान बदल सकते हैं, लेकिन विकास की दिशा नहीं।</w:t>
              <w:br/>
              <w:t>सरकारें बदल सकती हैं, लेकिन घूँचा का भविष्य हमारा सामूहिक संकल्प रहेगा।”</w:t>
            </w:r>
          </w:p>
        </w:tc>
      </w:tr>
    </w:tbl>
    <w:p>
      <w:pPr>
        <w:spacing w:after="20"/>
      </w:pPr>
    </w:p>
    <w:p>
      <w:pPr>
        <w:jc w:val="center"/>
      </w:pPr>
      <w:r>
        <w:rPr>
          <w:b/>
        </w:rPr>
        <w:br/>
        <w:t>Vision Ghooncha 2047</w:t>
        <w:br/>
        <w:t>स्वच्छ • शिक्षित • स्वस्थ • आत्मनिर्भर • डिजिटल • पर्यावरण-अनुकूल</w:t>
      </w:r>
    </w:p>
    <w:p>
      <w:pPr>
        <w:jc w:val="center"/>
      </w:pPr>
      <w:r>
        <w:rPr>
          <w:sz w:val="22"/>
        </w:rPr>
        <w:br/>
        <w:t>संस्थापक एवं संपादक</w:t>
        <w:br/>
        <w:t>राम गोपाल</w:t>
        <w:br/>
        <w:t>Vision Ghooncha Foundation</w:t>
      </w:r>
    </w:p>
    <w:p>
      <w:r>
        <w:br w:type="page"/>
      </w:r>
    </w:p>
    <w:p>
      <w:pPr>
        <w:spacing w:after="40"/>
      </w:pPr>
      <w:r>
        <w:rPr>
          <w:b/>
          <w:color w:val="C89B3C"/>
          <w:sz w:val="16"/>
        </w:rPr>
        <w:t>SOURCE BASIS</w:t>
      </w:r>
    </w:p>
    <w:p>
      <w:pPr>
        <w:spacing w:after="140"/>
      </w:pPr>
      <w:r>
        <w:rPr>
          <w:rFonts w:ascii="Noto Sans Devanagari" w:hAnsi="Noto Sans Devanagari"/>
          <w:b/>
          <w:color w:val="1E5A3B"/>
          <w:sz w:val="42"/>
        </w:rPr>
        <w:t>संदर्भ आधार एवं संपादकीय नोट</w:t>
      </w:r>
    </w:p>
    <w:p>
      <w:r>
        <w:t>यह Executive Summary “घूँचा विकास संकल्प” Release Version 1.0 के approved master content पर आधारित है। स्थानीय baseline, ग्राम-स्तरीय अवलोकन और Foundation के दस्तावेजों को Living Document माना गया है।</w:t>
      </w:r>
    </w:p>
    <w:p>
      <w:pPr>
        <w:pStyle w:val="ListBullet"/>
        <w:spacing w:after="60"/>
      </w:pPr>
      <w:r>
        <w:rPr>
          <w:rFonts w:ascii="Noto Sans Devanagari" w:hAnsi="Noto Sans Devanagari"/>
          <w:sz w:val="20"/>
        </w:rPr>
        <w:t>स्थानीय आँकड़े और स्थल-स्थिति समय-समय पर पुनः सत्यापित किए जाएँ।</w:t>
      </w:r>
    </w:p>
    <w:p>
      <w:pPr>
        <w:pStyle w:val="ListBullet"/>
        <w:spacing w:after="60"/>
      </w:pPr>
      <w:r>
        <w:rPr>
          <w:rFonts w:ascii="Noto Sans Devanagari" w:hAnsi="Noto Sans Devanagari"/>
          <w:sz w:val="20"/>
        </w:rPr>
        <w:t>सरकारी योजनाएँ, पात्रता, बजट, पदाधिकारी और प्रक्रियाएँ बदल सकती हैं; किसी आवेदन/परियोजना से पहले संबंधित विभाग के नवीनतम आदेश/पोर्टल से सत्यापन आवश्यक है।</w:t>
      </w:r>
    </w:p>
    <w:p>
      <w:pPr>
        <w:pStyle w:val="ListBullet"/>
        <w:spacing w:after="60"/>
      </w:pPr>
      <w:r>
        <w:rPr>
          <w:rFonts w:ascii="Noto Sans Devanagari" w:hAnsi="Noto Sans Devanagari"/>
          <w:sz w:val="20"/>
        </w:rPr>
        <w:t>औपचारिक ग्राम पंचायत/ग्राम सभा/विभागीय स्वीकृति जहाँ आवश्यक हो, सक्षम वैधानिक प्रक्रिया का पालन किया जाए।</w:t>
      </w:r>
    </w:p>
    <w:p>
      <w:pPr>
        <w:spacing w:after="140"/>
      </w:pPr>
      <w:r>
        <w:rPr>
          <w:rFonts w:ascii="Noto Sans Devanagari" w:hAnsi="Noto Sans Devanagari"/>
          <w:b/>
          <w:color w:val="1E5A3B"/>
          <w:sz w:val="42"/>
        </w:rPr>
        <w:t>Master Book</w:t>
      </w:r>
    </w:p>
    <w:p>
      <w:r>
        <w:t>विस्तृत अध्याय, परिशिष्ट, संदर्भ, project framework और Vision Ghooncha 2047 की पूर्ण व्याख्या “घूँचा विकास संकल्प” Release Version 1.0 में उपलब्ध है।</w:t>
      </w:r>
    </w:p>
    <w:tbl>
      <w:tblPr>
        <w:tblW w:type="auto" w:w="0"/>
        <w:jc w:val="center"/>
        <w:tblLayout w:type="autofit"/>
        <w:tblLook w:firstColumn="1" w:firstRow="1" w:lastColumn="0" w:lastRow="0" w:noHBand="0" w:noVBand="1" w:val="04A0"/>
      </w:tblPr>
      <w:tblGrid>
        <w:gridCol w:w="10262"/>
      </w:tblGrid>
      <w:tr>
        <w:tc>
          <w:tcPr>
            <w:tcW w:type="dxa" w:w="10262"/>
            <w:shd w:fill="EAF1EA"/>
            <w:tcMar>
              <w:top w:w="100" w:type="dxa"/>
              <w:start w:w="120" w:type="dxa"/>
              <w:bottom w:w="100" w:type="dxa"/>
              <w:end w:w="120" w:type="dxa"/>
            </w:tcMar>
            <w:vAlign w:val="center"/>
          </w:tcPr>
          <w:p>
            <w:pPr>
              <w:jc w:val="center"/>
            </w:pPr>
            <w:r/>
            <w:r>
              <w:rPr>
                <w:rFonts w:ascii="Noto Sans Devanagari" w:hAnsi="Noto Sans Devanagari"/>
                <w:b/>
                <w:color w:val="1E5A3B"/>
                <w:sz w:val="24"/>
              </w:rPr>
              <w:t>VISION GHOONCHA FOUNDATION</w:t>
              <w:br/>
              <w:t>जनभागीदारी से समृद्धि की ओर</w:t>
            </w:r>
          </w:p>
        </w:tc>
      </w:tr>
    </w:tbl>
    <w:p>
      <w:pPr>
        <w:spacing w:after="20"/>
      </w:pPr>
    </w:p>
    <w:sectPr w:rsidR="00FC693F" w:rsidRPr="0006063C" w:rsidSect="00034616">
      <w:headerReference w:type="default" r:id="rId9"/>
      <w:footerReference w:type="default" r:id="rId10"/>
      <w:pgSz w:w="11906" w:h="16838"/>
      <w:pgMar w:top="765" w:right="822" w:bottom="765"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1E5A3B"/>
        <w:sz w:val="16"/>
      </w:rPr>
      <w:t>जनभागीदारी से समृद्धि की ओर   •   I ♥ GHOONCHA</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1E5A3B"/>
        <w:sz w:val="16"/>
      </w:rPr>
      <w:t>VISION GHOONCHA FOUNDATION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Noto Sans Devanagari" w:hAnsi="Noto Sans Devanaga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e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